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956a160a14ef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1800-S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MCDO</w:t>
        </w:r>
      </w:r>
      <w:r>
        <w:rPr>
          <w:b/>
        </w:rPr>
        <w:t xml:space="preserve"> </w:t>
        <w:r>
          <w:rPr/>
          <w:t xml:space="preserve">H4177.1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1800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McDonald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31, after "this act." strike all material through "filed." on line 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11, line 38, after "initial notice." strike all material through "filed." on page 12, line 2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provision that beginning in 2021 the period for a subdivision to remedy a violation before a court action is filed is reduced to ninety days after notice is received.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2f7c975884b8d" /></Relationships>
</file>