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018acfbef422e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1570-S2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MANW</w:t>
        </w:r>
      </w:r>
      <w:r>
        <w:rPr>
          <w:b/>
        </w:rPr>
        <w:t xml:space="preserve"> </w:t>
        <w:r>
          <w:rPr/>
          <w:t xml:space="preserve">H4562.1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2SHB 1570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742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Manweller</w:t>
      </w:r>
    </w:p>
    <w:p>
      <w:pPr>
        <w:jc w:val="right"/>
      </w:pPr>
      <w:r>
        <w:rPr>
          <w:b/>
        </w:rPr>
        <w:t xml:space="preserve">ADOPTED 02/07/2018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5, line 32, strike all of subsection (7)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Eliminates the requirement that the Department of Commerce conduct a statewide homeless study every ten years, in collaboration with the Washington State Institute for Public Policy.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e3e3056764de3" /></Relationships>
</file>