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f144d22c94a5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1482-S3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HARG</w:t>
        </w:r>
      </w:r>
      <w:r>
        <w:rPr>
          <w:b/>
        </w:rPr>
        <w:t xml:space="preserve"> </w:t>
        <w:r>
          <w:rPr/>
          <w:t xml:space="preserve">H4709.1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3SHB 1482</w:t>
      </w:r>
      <w:r>
        <w:t xml:space="preserve"> -</w:t>
      </w:r>
      <w:r>
        <w:t xml:space="preserve"> </w:t>
        <w:t xml:space="preserve">H AMD TO H AMD (H-4706.1/18)</w:t>
      </w:r>
      <w:r>
        <w:t xml:space="preserve"> </w:t>
      </w:r>
      <w:r>
        <w:rPr>
          <w:b/>
        </w:rPr>
        <w:t xml:space="preserve">841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Hargrove</w:t>
      </w:r>
    </w:p>
    <w:p>
      <w:pPr>
        <w:jc w:val="right"/>
      </w:pPr>
      <w:r>
        <w:rPr>
          <w:b/>
        </w:rPr>
        <w:t xml:space="preserve">WITHDRAWN 02/14/2018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11 of the amendment, insert "inner city populations; rural populations; and"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inner city and rural populations to the groups for whom the Task Force must establish service outcome measures for the WorkFirst and Temporary Assistance for Needy Families programs.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a180cbf5b44e0" /></Relationships>
</file>