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b20aeeb8c74b37" /></Relationships>
</file>

<file path=word/document.xml><?xml version="1.0" encoding="utf-8"?>
<w:document xmlns:w="http://schemas.openxmlformats.org/wordprocessingml/2006/main">
  <w:body>
    <w:p>
      <w:r>
        <w:rPr>
          <w:b/>
        </w:rPr>
        <w:r>
          <w:rPr/>
          <w:t xml:space="preserve">1075-S</w:t>
        </w:r>
      </w:r>
      <w:r>
        <w:rPr>
          <w:b/>
        </w:rPr>
        <w:t xml:space="preserve"> </w:t>
        <w:t xml:space="preserve">AMH</w:t>
      </w:r>
      <w:r>
        <w:rPr>
          <w:b/>
        </w:rPr>
        <w:t xml:space="preserve"> </w:t>
        <w:r>
          <w:rPr/>
          <w:t xml:space="preserve">THAR</w:t>
        </w:r>
      </w:r>
      <w:r>
        <w:rPr>
          <w:b/>
        </w:rPr>
        <w:t xml:space="preserve"> </w:t>
        <w:r>
          <w:rPr/>
          <w:t xml:space="preserve">H2962.1</w:t>
        </w:r>
      </w:r>
      <w:r>
        <w:rPr>
          <w:b/>
        </w:rPr>
        <w:t xml:space="preserve"> - NOT FOR FLOOR USE</w:t>
      </w:r>
    </w:p>
    <w:p>
      <w:pPr>
        <w:ind w:left="0" w:right="0" w:firstLine="576"/>
      </w:pPr>
    </w:p>
    <w:p>
      <w:pPr>
        <w:spacing w:before="480" w:after="0" w:line="408" w:lineRule="exact"/>
      </w:pPr>
      <w:r>
        <w:rPr>
          <w:b/>
          <w:u w:val="single"/>
        </w:rPr>
        <w:t xml:space="preserve">SHB 1075</w:t>
      </w:r>
      <w:r>
        <w:t xml:space="preserve"> -</w:t>
      </w:r>
      <w:r>
        <w:t xml:space="preserve"> </w:t>
        <w:t xml:space="preserve">H AMD</w:t>
      </w:r>
      <w:r>
        <w:t xml:space="preserve"> </w:t>
      </w:r>
      <w:r>
        <w:rPr>
          <w:b/>
        </w:rPr>
        <w:t xml:space="preserve">647</w:t>
      </w:r>
    </w:p>
    <w:p>
      <w:pPr>
        <w:spacing w:before="0" w:after="0" w:line="408" w:lineRule="exact"/>
        <w:ind w:left="0" w:right="0" w:firstLine="576"/>
        <w:jc w:val="left"/>
      </w:pPr>
      <w:r>
        <w:rPr/>
        <w:t xml:space="preserve">By Representative Tharinger</w:t>
      </w:r>
    </w:p>
    <w:p>
      <w:pPr>
        <w:jc w:val="right"/>
      </w:pPr>
      <w:r>
        <w:rPr>
          <w:b/>
        </w:rPr>
        <w:t xml:space="preserve">WITHDRAWN 06/30/2017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1001, chapter 35, Laws of 2016 sp. sess. and section 6005,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March 1, 2018. If the terms and conditions of this subsection are not met by March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$199,435,000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$129,895,000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$49,523,000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$17,128,000</w:t>
      </w:r>
    </w:p>
    <w:p>
      <w:pPr>
        <w:spacing w:before="120" w:after="0" w:line="408" w:lineRule="exact"/>
        <w:ind w:left="0" w:right="0" w:firstLine="576"/>
        <w:jc w:val="left"/>
        <w:tabs>
          <w:tab w:val="right" w:leader="dot" w:pos="9936"/>
        </w:tabs>
      </w:pPr>
      <w:r>
        <w:rPr/>
        <w:t xml:space="preserve">Prior Biennia (Expenditures)</w:t>
      </w:r>
      <w:r>
        <w:tab/>
      </w:r>
      <w:r>
        <w:rPr/>
        <w:t xml:space="preserve">$132,896,000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$16,511,000</w:t>
      </w:r>
    </w:p>
    <w:p>
      <w:pPr>
        <w:spacing w:before="120" w:after="0" w:line="408" w:lineRule="exact"/>
        <w:ind w:left="0" w:right="0" w:firstLine="576"/>
        <w:jc w:val="left"/>
        <w:tabs>
          <w:tab w:val="right" w:leader="dot" w:pos="9936"/>
        </w:tabs>
      </w:pPr>
      <w:r>
        <w:rPr/>
        <w:t xml:space="preserve">Prior Biennia (Expenditures)</w:t>
      </w:r>
      <w:r>
        <w:tab/>
      </w:r>
      <w:r>
        <w:rPr/>
        <w:t xml:space="preserve">$21,630,000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1041, chapter 3, Laws of 2015 3rd sp. sess., provided that the "New Life Community Development Agency" project may be combined with the "New Life CDA" project in project number 30000188.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 Laws of 2015 3rd sp. sess., provided that the "New Life CDA" project may be combined with the "New Life Community Development Agency" project in project number 30000185.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$3,404,000</w:t>
      </w:r>
    </w:p>
    <w:p>
      <w:pPr>
        <w:spacing w:before="120" w:after="0" w:line="408" w:lineRule="exact"/>
        <w:ind w:left="0" w:right="0" w:firstLine="576"/>
        <w:jc w:val="left"/>
        <w:tabs>
          <w:tab w:val="right" w:leader="dot" w:pos="9936"/>
        </w:tabs>
      </w:pPr>
      <w:r>
        <w:rPr/>
        <w:t xml:space="preserve">Prior Biennia (Expenditures)</w:t>
      </w:r>
      <w:r>
        <w:tab/>
      </w:r>
      <w:r>
        <w:rPr/>
        <w:t xml:space="preserve">$21,596,000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$4,707,000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$3,105,000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$10,357,000</w:t>
      </w:r>
    </w:p>
    <w:p>
      <w:pPr>
        <w:spacing w:before="120" w:after="0" w:line="408" w:lineRule="exact"/>
        <w:ind w:left="0" w:right="0" w:firstLine="576"/>
        <w:jc w:val="left"/>
        <w:tabs>
          <w:tab w:val="right" w:leader="dot" w:pos="9936"/>
        </w:tabs>
      </w:pPr>
      <w:r>
        <w:rPr/>
        <w:t xml:space="preserve">Prior Biennia (Expenditures)</w:t>
      </w:r>
      <w:r>
        <w:tab/>
      </w:r>
      <w:r>
        <w:rPr/>
        <w:t xml:space="preserve">$10,502,000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$21,276,000</w:t>
      </w:r>
    </w:p>
    <w:p>
      <w:pPr>
        <w:spacing w:before="120" w:after="0" w:line="408" w:lineRule="exact"/>
        <w:ind w:left="0" w:right="0" w:firstLine="576"/>
        <w:jc w:val="left"/>
        <w:tabs>
          <w:tab w:val="right" w:leader="dot" w:pos="9936"/>
        </w:tabs>
      </w:pPr>
      <w:r>
        <w:rPr/>
        <w:t xml:space="preserve">Prior Biennia (Expenditures)</w:t>
      </w:r>
      <w:r>
        <w:tab/>
      </w:r>
      <w:r>
        <w:rPr/>
        <w:t xml:space="preserve">$3,724,000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$780,000</w:t>
      </w:r>
    </w:p>
    <w:p>
      <w:pPr>
        <w:spacing w:before="120" w:after="0" w:line="408" w:lineRule="exact"/>
        <w:ind w:left="0" w:right="0" w:firstLine="576"/>
        <w:jc w:val="left"/>
        <w:tabs>
          <w:tab w:val="right" w:leader="dot" w:pos="9936"/>
        </w:tabs>
      </w:pPr>
      <w:r>
        <w:rPr/>
        <w:t xml:space="preserve">Prior Biennia (Expenditures)</w:t>
      </w:r>
      <w:r>
        <w:tab/>
      </w:r>
      <w:r>
        <w:rPr/>
        <w:t xml:space="preserve">$14,220,000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$2,918,000</w:t>
      </w:r>
    </w:p>
    <w:p>
      <w:pPr>
        <w:spacing w:before="120" w:after="0" w:line="408" w:lineRule="exact"/>
        <w:ind w:left="0" w:right="0" w:firstLine="576"/>
        <w:jc w:val="left"/>
        <w:tabs>
          <w:tab w:val="right" w:leader="dot" w:pos="9936"/>
        </w:tabs>
      </w:pPr>
      <w:r>
        <w:rPr/>
        <w:t xml:space="preserve">Prior Biennia (Expenditures)</w:t>
      </w:r>
      <w:r>
        <w:tab/>
      </w:r>
      <w:r>
        <w:rPr/>
        <w:t xml:space="preserve">$2,082,000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$8,528,000</w:t>
      </w:r>
    </w:p>
    <w:p>
      <w:pPr>
        <w:spacing w:before="120" w:after="0" w:line="408" w:lineRule="exact"/>
        <w:ind w:left="0" w:right="0" w:firstLine="576"/>
        <w:jc w:val="left"/>
        <w:tabs>
          <w:tab w:val="right" w:leader="dot" w:pos="9936"/>
        </w:tabs>
      </w:pPr>
      <w:r>
        <w:rPr/>
        <w:t xml:space="preserve">Prior Biennia (Expenditures)</w:t>
      </w:r>
      <w:r>
        <w:tab/>
      </w:r>
      <w:r>
        <w:rPr/>
        <w:t xml:space="preserve">$2,835,000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$28,536,000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ind w:left="0" w:right="0" w:firstLine="576"/>
        <w:jc w:val="left"/>
        <w:tabs>
          <w:tab w:val="right" w:leader="dot" w:pos="9936"/>
        </w:tabs>
      </w:pPr>
      <w:r>
        <w:rPr/>
        <w:t xml:space="preserve">Prior Biennia (Expenditures)</w:t>
      </w:r>
      <w:r>
        <w:tab/>
      </w:r>
      <w:r>
        <w:rPr/>
        <w:t xml:space="preserve">$9,442,000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$3,671,000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$7,963,000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$8,479,000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$4,998,000</w:t>
      </w:r>
    </w:p>
    <w:p>
      <w:pPr>
        <w:spacing w:before="120" w:after="0" w:line="408" w:lineRule="exact"/>
        <w:ind w:left="0" w:right="0" w:firstLine="576"/>
        <w:jc w:val="left"/>
        <w:tabs>
          <w:tab w:val="right" w:leader="dot" w:pos="9936"/>
        </w:tabs>
      </w:pPr>
      <w:r>
        <w:rPr/>
        <w:t xml:space="preserve">Prior Biennia (Expenditures)</w:t>
      </w:r>
      <w:r>
        <w:tab/>
      </w:r>
      <w:r>
        <w:rPr/>
        <w:t xml:space="preserve">$31,052,000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$7,376,000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$18,327,000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$5,904,000</w:t>
      </w:r>
    </w:p>
    <w:p>
      <w:pPr>
        <w:tabs>
          <w:tab w:val="right" w:leader="dot" w:pos="9936"/>
        </w:tabs>
        <w:ind w:left="0" w:right="0" w:firstLine="1440"/>
      </w:pPr>
      <w:r>
        <w:rPr/>
        <w:t xml:space="preserve">Subtotal Reappropriation</w:t>
      </w:r>
      <w:r>
        <w:tab/>
      </w:r>
      <w:r>
        <w:rPr/>
        <w:t xml:space="preserve">$5,993,000</w:t>
      </w:r>
    </w:p>
    <w:p>
      <w:pPr>
        <w:spacing w:before="120" w:after="0" w:line="408" w:lineRule="exact"/>
        <w:ind w:left="0" w:right="0" w:firstLine="576"/>
        <w:jc w:val="left"/>
        <w:tabs>
          <w:tab w:val="right" w:leader="dot" w:pos="9936"/>
        </w:tabs>
      </w:pPr>
      <w:r>
        <w:rPr/>
        <w:t xml:space="preserve">Prior Biennia (Expenditures)</w:t>
      </w:r>
      <w:r>
        <w:tab/>
      </w:r>
      <w:r>
        <w:rPr/>
        <w:t xml:space="preserve">$26,135,000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$38,857,000</w:t>
      </w:r>
    </w:p>
    <w:p>
      <w:pPr>
        <w:spacing w:before="120" w:after="0" w:line="408" w:lineRule="exact"/>
        <w:ind w:left="0" w:right="0" w:firstLine="576"/>
        <w:jc w:val="left"/>
        <w:tabs>
          <w:tab w:val="right" w:leader="dot" w:pos="9936"/>
        </w:tabs>
      </w:pPr>
      <w:r>
        <w:rPr/>
        <w:t xml:space="preserve">Prior Biennia (Expenditures)</w:t>
      </w:r>
      <w:r>
        <w:tab/>
      </w:r>
      <w:r>
        <w:rPr/>
        <w:t xml:space="preserve">$5,542,000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$88,204,000</w:t>
      </w:r>
    </w:p>
    <w:p>
      <w:pPr>
        <w:spacing w:before="120" w:after="0" w:line="408" w:lineRule="exact"/>
        <w:ind w:left="0" w:right="0" w:firstLine="576"/>
        <w:jc w:val="left"/>
        <w:tabs>
          <w:tab w:val="right" w:leader="dot" w:pos="9936"/>
        </w:tabs>
      </w:pPr>
      <w:r>
        <w:rPr/>
        <w:t xml:space="preserve">Prior Biennia (Expenditures)</w:t>
      </w:r>
      <w:r>
        <w:tab/>
      </w:r>
      <w:r>
        <w:rPr/>
        <w:t xml:space="preserve">$41,965,000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$67,687,000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Cost Effective K-3 Classrooms Assessment (30000053)</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$1,550,000</w:t>
      </w:r>
    </w:p>
    <w:p>
      <w:pPr>
        <w:tabs>
          <w:tab w:val="right" w:leader="dot" w:pos="9936"/>
        </w:tabs>
        <w:ind w:left="0" w:right="0" w:firstLine="1440"/>
      </w:pPr>
      <w:r>
        <w:rPr/>
        <w:t xml:space="preserve">Subtotal Reappropriation</w:t>
      </w:r>
      <w:r>
        <w:tab/>
      </w:r>
      <w:r>
        <w:rPr/>
        <w:t xml:space="preserve">$4,691,000</w:t>
      </w:r>
    </w:p>
    <w:p>
      <w:pPr>
        <w:spacing w:before="120" w:after="0" w:line="408" w:lineRule="exact"/>
        <w:ind w:left="0" w:right="0" w:firstLine="576"/>
        <w:jc w:val="left"/>
        <w:tabs>
          <w:tab w:val="right" w:leader="dot" w:pos="9936"/>
        </w:tabs>
      </w:pPr>
      <w:r>
        <w:rPr/>
        <w:t xml:space="preserve">Prior Biennia (Expenditures)</w:t>
      </w:r>
      <w:r>
        <w:tab/>
      </w:r>
      <w:r>
        <w:rPr/>
        <w:t xml:space="preserve">$2,727,000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$360,000</w:t>
      </w:r>
    </w:p>
    <w:p>
      <w:pPr>
        <w:tabs>
          <w:tab w:val="right" w:leader="dot" w:pos="9936"/>
        </w:tabs>
        <w:ind w:left="0" w:right="0" w:firstLine="1440"/>
      </w:pPr>
      <w:r>
        <w:rPr/>
        <w:t xml:space="preserve">Subtotal Reappropriation</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1022, chapter 35, Laws of 2016 sp. sess.</w:t>
      </w:r>
    </w:p>
    <w:p>
      <w:pPr>
        <w:spacing w:before="0" w:after="0" w:line="408" w:lineRule="exact"/>
        <w:ind w:left="0" w:right="0" w:firstLine="576"/>
        <w:jc w:val="left"/>
      </w:pPr>
      <w:r>
        <w:rPr/>
        <w:t xml:space="preserve">(2) The department of enterprise services shall work with the local school districts to use existing grant funds available from the office of the superintendent of public instruction and other sources to expand the current construction project using the current builder to complete as many additional classrooms in that district as the grant funds will allow.</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tabs>
          <w:tab w:val="right" w:leader="dot" w:pos="9936"/>
        </w:tabs>
        <w:ind w:left="0" w:right="0" w:firstLine="1440"/>
      </w:pPr>
      <w:r>
        <w:rPr/>
        <w:t xml:space="preserve">Subtotal Reappropriation</w:t>
      </w:r>
      <w:r>
        <w:tab/>
      </w:r>
      <w:r>
        <w:rPr/>
        <w:t xml:space="preserve">$5,057,000</w:t>
      </w:r>
    </w:p>
    <w:p>
      <w:pPr>
        <w:spacing w:before="120" w:after="0" w:line="408" w:lineRule="exact"/>
        <w:ind w:left="0" w:right="0" w:firstLine="576"/>
        <w:jc w:val="left"/>
        <w:tabs>
          <w:tab w:val="right" w:leader="dot" w:pos="9936"/>
        </w:tabs>
      </w:pPr>
      <w:r>
        <w:rPr/>
        <w:t xml:space="preserve">Prior Biennia (Expenditures)</w:t>
      </w:r>
      <w:r>
        <w:tab/>
      </w:r>
      <w:r>
        <w:rPr/>
        <w:t xml:space="preserve">$7,541,000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$4,332,000</w:t>
      </w:r>
    </w:p>
    <w:p>
      <w:pPr>
        <w:tabs>
          <w:tab w:val="right" w:leader="dot" w:pos="9936"/>
        </w:tabs>
        <w:ind w:left="0" w:right="0" w:firstLine="1440"/>
      </w:pPr>
      <w:r>
        <w:rPr/>
        <w:t xml:space="preserve">Subtotal Reappropriation</w:t>
      </w:r>
      <w:r>
        <w:tab/>
      </w:r>
      <w:r>
        <w:rPr/>
        <w:t xml:space="preserve">$18,567,000</w:t>
      </w:r>
    </w:p>
    <w:p>
      <w:pPr>
        <w:spacing w:before="120" w:after="0" w:line="408" w:lineRule="exact"/>
        <w:ind w:left="0" w:right="0" w:firstLine="576"/>
        <w:jc w:val="left"/>
        <w:tabs>
          <w:tab w:val="right" w:leader="dot" w:pos="9936"/>
        </w:tabs>
      </w:pPr>
      <w:r>
        <w:rPr/>
        <w:t xml:space="preserve">Prior Biennia (Expenditures)</w:t>
      </w:r>
      <w:r>
        <w:tab/>
      </w:r>
      <w:r>
        <w:rPr/>
        <w:t xml:space="preserve">$3,049,000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$865,000</w:t>
      </w:r>
    </w:p>
    <w:p>
      <w:pPr>
        <w:tabs>
          <w:tab w:val="right" w:leader="dot" w:pos="9936"/>
        </w:tabs>
        <w:ind w:left="0" w:right="0" w:firstLine="1440"/>
      </w:pPr>
      <w:r>
        <w:rPr/>
        <w:t xml:space="preserve">Subtotal Reappropriation</w:t>
      </w:r>
      <w:r>
        <w:tab/>
      </w:r>
      <w:r>
        <w:rPr/>
        <w:t xml:space="preserve">$1,962,000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$1,031,000</w:t>
      </w:r>
    </w:p>
    <w:p>
      <w:pPr>
        <w:spacing w:before="120" w:after="0" w:line="408" w:lineRule="exact"/>
        <w:ind w:left="0" w:right="0" w:firstLine="576"/>
        <w:jc w:val="left"/>
        <w:tabs>
          <w:tab w:val="right" w:leader="dot" w:pos="9936"/>
        </w:tabs>
      </w:pPr>
      <w:r>
        <w:rPr/>
        <w:t xml:space="preserve">Prior Biennia (Expenditures)</w:t>
      </w:r>
      <w:r>
        <w:tab/>
      </w:r>
      <w:r>
        <w:rPr/>
        <w:t xml:space="preserve">$1,469,000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 The design of the facility must consider the state printer remaining at the current location, or the design of the facility at a new location.</w:t>
      </w:r>
    </w:p>
    <w:p>
      <w:pPr>
        <w:spacing w:before="0" w:after="0" w:line="408" w:lineRule="exact"/>
        <w:ind w:left="0" w:right="0" w:firstLine="576"/>
        <w:jc w:val="left"/>
      </w:pPr>
      <w:r>
        <w:rPr/>
        <w:t xml:space="preserve">(2) All capital budget expenses, less current and previous appropriations, must be financed with a certificate of participation or other financing method fully supported using fees collected by the secretary of state. The secretary of state may consider the adjustment of fees, including the heritage center account, to support construction,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chapter 327, Laws of 2017 (Substitute Senate Bill No. 5472). Grants must be administered to counties at no more than $1,000 per location by the secretary of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$44,000,000 of the state building construction account</w:t>
      </w:r>
      <w:r>
        <w:rPr>
          <w:rFonts w:ascii="Times New Roman" w:hAnsi="Times New Roman"/>
        </w:rPr>
        <w:t xml:space="preserve">—</w:t>
      </w:r>
      <w:r>
        <w:rPr/>
        <w:t xml:space="preserve">state appropriation, and $4,370,000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$22,098,000 is provided solely for the following list of housing projects:</w:t>
      </w:r>
    </w:p>
    <w:p>
      <w:pPr>
        <w:spacing w:before="0" w:after="0" w:line="408" w:lineRule="exact"/>
        <w:ind w:left="0" w:right="0" w:firstLine="576"/>
        <w:jc w:val="left"/>
        <w:tabs>
          <w:tab w:val="right" w:leader="dot" w:pos="9936"/>
        </w:tabs>
      </w:pPr>
      <w:r>
        <w:rPr/>
        <w:t xml:space="preserve">(i) Cross-Laminated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Justice Housing Yakima</w:t>
      </w:r>
      <w:r>
        <w:tab/>
      </w:r>
      <w:r>
        <w:rPr/>
        <w:t xml:space="preserve">$3,111,000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King county and $3,000,000 of the appropriation that is subject to this subsection is provided solely for innovative affordable housing for veterans in Orting.</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modular housing project.</w:t>
      </w:r>
    </w:p>
    <w:p>
      <w:pPr>
        <w:spacing w:before="0" w:after="0" w:line="408" w:lineRule="exact"/>
        <w:ind w:left="0" w:right="0" w:firstLine="576"/>
        <w:jc w:val="left"/>
      </w:pPr>
      <w:r>
        <w:rPr/>
        <w:t xml:space="preserve">(f) Of the amounts appropriated remaining after (a) through (e)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$4,370,000</w:t>
      </w:r>
    </w:p>
    <w:p>
      <w:pPr>
        <w:tabs>
          <w:tab w:val="right" w:leader="dot" w:pos="9936"/>
        </w:tabs>
        <w:ind w:left="0" w:right="0" w:firstLine="1440"/>
      </w:pPr>
      <w:r>
        <w:rPr/>
        <w:t xml:space="preserve">Subtotal Appropriation</w:t>
      </w:r>
      <w:r>
        <w:tab/>
      </w:r>
      <w:r>
        <w:rPr/>
        <w:t xml:space="preserve">$106,370,000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(Everett)</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(Everett)</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(Seattle)</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(Seattle)</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(Vancouver)</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(Bellingham)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(Kelso)</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(Olympia)</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(Davenport)</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(8)(a)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(b) If by December 30, 2018, federal funding is not secured, the funds in this subsection (8) shall lapse.</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$2,400,000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$101,458,000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Belfair Senior Center Meals on Wheels Kitchen Upgrade</w:t>
      </w:r>
    </w:p>
    <w:p>
      <w:pPr>
        <w:spacing w:before="0" w:after="0" w:line="408" w:lineRule="exact"/>
        <w:ind w:left="0" w:right="0" w:firstLine="1152"/>
        <w:jc w:val="left"/>
        <w:tabs>
          <w:tab w:val="right" w:leader="dot" w:pos="9936"/>
        </w:tabs>
      </w:pPr>
      <w:r>
        <w:rPr/>
        <w:t xml:space="preserve">(Belfair)</w:t>
      </w:r>
      <w:r>
        <w:tab/>
      </w:r>
      <w:r>
        <w:rPr/>
        <w:t xml:space="preserve">$11,000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Coordinated and Safe Service Center (Redmond)</w:t>
      </w:r>
      <w:r>
        <w:tab/>
      </w:r>
      <w:r>
        <w:rPr/>
        <w:t xml:space="preserve">$309,000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$618,000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tabs>
          <w:tab w:val="right" w:leader="dot" w:pos="9936"/>
        </w:tabs>
      </w:pPr>
      <w:r>
        <w:rPr/>
        <w:t xml:space="preserve">Goodwill Job Training &amp; Resource Center (Pasco)</w:t>
      </w:r>
      <w:r>
        <w:tab/>
      </w:r>
      <w:r>
        <w:rPr/>
        <w:t xml:space="preserve">$132,000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Heritage Park Eastern Washington Butte (Olympia)</w:t>
      </w:r>
      <w:r>
        <w:tab/>
      </w:r>
      <w:r>
        <w:rPr/>
        <w:t xml:space="preserve">$50,000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$2,160,000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Japanese Gulch Creek Restoration Project (Mukilteo)</w:t>
      </w:r>
      <w:r>
        <w:tab/>
      </w:r>
      <w:r>
        <w:rPr/>
        <w:t xml:space="preserve">$721,000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Magnuson Community Center Renovation (Seattle)</w:t>
      </w:r>
      <w:r>
        <w:tab/>
      </w:r>
      <w:r>
        <w:rPr/>
        <w:t xml:space="preserve">$2,000,000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$4,035,000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Safe Service Center (Redmond)</w:t>
      </w:r>
      <w:r>
        <w:tab/>
      </w:r>
      <w:r>
        <w:rPr/>
        <w:t xml:space="preserve">$300,000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Spokane Family Justice Center at the YWCA (Spokane)</w:t>
      </w:r>
      <w:r>
        <w:tab/>
      </w:r>
      <w:r>
        <w:rPr/>
        <w:t xml:space="preserve">$100,000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Sultan Public Safety Center (Sultan)</w:t>
      </w:r>
      <w:r>
        <w:tab/>
      </w:r>
      <w:r>
        <w:rPr/>
        <w:t xml:space="preserve">$721,000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tabs>
          <w:tab w:val="right" w:leader="dot" w:pos="9936"/>
        </w:tabs>
      </w:pPr>
      <w:r>
        <w:rPr/>
        <w:t xml:space="preserve">Tollgate Farmhouse Project (North Bend)</w:t>
      </w:r>
      <w:r>
        <w:tab/>
      </w:r>
      <w:r>
        <w:rPr/>
        <w:t xml:space="preserve">$280,000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$1,250,000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pPr>
      <w:r>
        <w:rPr/>
        <w:t xml:space="preserve">Yelm Senior Center Meals on Wheels Kitchen Upgrade</w:t>
      </w:r>
    </w:p>
    <w:p>
      <w:pPr>
        <w:spacing w:before="0" w:after="0" w:line="408" w:lineRule="exact"/>
        <w:ind w:left="0" w:right="0" w:firstLine="1152"/>
        <w:jc w:val="left"/>
        <w:tabs>
          <w:tab w:val="right" w:leader="dot" w:pos="9936"/>
        </w:tabs>
      </w:pPr>
      <w:r>
        <w:rPr/>
        <w:t xml:space="preserve">(Yelm)</w:t>
      </w:r>
      <w:r>
        <w:tab/>
      </w:r>
      <w:r>
        <w:rPr/>
        <w:t xml:space="preserve">$30,000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$3,504,000 of the early learning facilities revolving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120" w:after="0" w:line="408" w:lineRule="exact"/>
        <w:ind w:left="0" w:right="0" w:firstLine="576"/>
        <w:jc w:val="left"/>
      </w:pPr>
      <w:r>
        <w:rPr/>
        <w:t xml:space="preserve">(2) $11,996,000 of the early learning facilities development account</w:t>
      </w:r>
      <w:r>
        <w:rPr>
          <w:rFonts w:ascii="Times New Roman" w:hAnsi="Times New Roman"/>
        </w:rPr>
        <w:t xml:space="preserve">—</w:t>
      </w:r>
      <w:r>
        <w:rPr/>
        <w:t xml:space="preserve">state appropriation in this section is provided solely for early learning facility grants and loans specified in sections 3 through 11, chapter . . . (Engrossed Second Substitute House Bill No. 1777), Laws of 2017 to provide state assistance for designing, constructing, or modernizing public or private early learning education facilities for eligible organizations.</w:t>
      </w:r>
    </w:p>
    <w:p>
      <w:pPr>
        <w:spacing w:before="0" w:after="0" w:line="408" w:lineRule="exact"/>
        <w:ind w:left="0" w:right="0" w:firstLine="576"/>
        <w:jc w:val="left"/>
      </w:pPr>
      <w:r>
        <w:rPr/>
        <w:t xml:space="preserve">(3) If the bill referenced in subsection (2) of this section is not enacted by July 31, 2017, the amount provided in subsection (2)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$10,988,000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$750,000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(Burien)</w:t>
      </w:r>
      <w:r>
        <w:tab/>
      </w:r>
      <w:r>
        <w:rPr/>
        <w:t xml:space="preserve">$252,000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$36,600,000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$11,400,000 is provided solely for crisis diversion or stabilization facilities that are not subject to federal funding restrictions that apply to institutions of mental diseases. At least two of the facilities must be located in King county and one in Pierce county;</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2017,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tabs>
          <w:tab w:val="right" w:leader="dot" w:pos="9936"/>
        </w:tabs>
        <w:ind w:left="0" w:right="0" w:firstLine="1440"/>
      </w:pPr>
      <w:r>
        <w:rPr/>
        <w:t xml:space="preserve">Subtotal Appropriation</w:t>
      </w:r>
      <w:r>
        <w:tab/>
      </w:r>
      <w:r>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Contingency Pool (91000436)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parks projects that are reduced. The state parks and recreation commission must provide sufficient evidence that a project cannot move forward without additional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December 10, 2017.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September 1,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and State Facility Financing Study (92000021)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financial management shall submit a higher education capital facility study to the governor and the appropriate legislative fiscal committees by October 1, 2018. In designing and conducting the study, the office of financial management shall consult with legislative and fiscal committee leadership, the department of revenue, the state investment board, the student achievement council, the state board for community and technical colleges, and the public four-year institutions of higher education. The study must include:</w:t>
      </w:r>
    </w:p>
    <w:p>
      <w:pPr>
        <w:spacing w:before="0" w:after="0" w:line="408" w:lineRule="exact"/>
        <w:ind w:left="0" w:right="0" w:firstLine="576"/>
        <w:jc w:val="left"/>
      </w:pPr>
      <w:r>
        <w:rPr/>
        <w:t xml:space="preserve">(a) A review of the methods that are used to fund higher education facility expansion and improvements in other states and the relative portions of such expenditures that are borne by students, state taxpayers, federal grants, and private contributions;</w:t>
      </w:r>
    </w:p>
    <w:p>
      <w:pPr>
        <w:spacing w:before="0" w:after="0" w:line="408" w:lineRule="exact"/>
        <w:ind w:left="0" w:right="0" w:firstLine="576"/>
        <w:jc w:val="left"/>
      </w:pPr>
      <w:r>
        <w:rPr/>
        <w:t xml:space="preserve">(b) An examination of alternatives for reducing facility construction and maintenance expenditures per student through strategies such as expansion of distance learning opportunities, increased scheduling of classes during evenings and weekends, the establishment of expected cost benchmarks by facility type, and other means;</w:t>
      </w:r>
    </w:p>
    <w:p>
      <w:pPr>
        <w:spacing w:before="0" w:after="0" w:line="408" w:lineRule="exact"/>
        <w:ind w:left="0" w:right="0" w:firstLine="576"/>
        <w:jc w:val="left"/>
      </w:pPr>
      <w:r>
        <w:rPr/>
        <w:t xml:space="preserve">(c) An assessment of the strengths and weaknesses of potential new revenue sources that might be applied to the funding of higher education facilities. These alternative sources must include, but not be limited to, adjusting student fees to support a larger share of the cost of such facilities, bonding against student fee revenues, utilizing local tax revenues to support local higher education capital needs, promoting business participation in the financing of programs strongly linked to area economic development, and other means;</w:t>
      </w:r>
    </w:p>
    <w:p>
      <w:pPr>
        <w:spacing w:before="0" w:after="0" w:line="408" w:lineRule="exact"/>
        <w:ind w:left="0" w:right="0" w:firstLine="576"/>
        <w:jc w:val="left"/>
      </w:pPr>
      <w:r>
        <w:rPr/>
        <w:t xml:space="preserve">(d) Learning space utilization standards for higher education facilities. The standards may include, but are not limited to:</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(e) Reasonableness of cost standards for higher education capital facilities. The standards may include, but are not limited to:</w:t>
      </w:r>
    </w:p>
    <w:p>
      <w:pPr>
        <w:spacing w:before="0" w:after="0" w:line="408" w:lineRule="exact"/>
        <w:ind w:left="0" w:right="0" w:firstLine="576"/>
        <w:jc w:val="left"/>
      </w:pPr>
      <w:r>
        <w:rPr/>
        <w:t xml:space="preserve">(i) Costs per square feet per type of facility; and</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(f) A criteria scoring and weighting tool for use by four-year higher education institutions and other decision makers that measures two components:</w:t>
      </w:r>
    </w:p>
    <w:p>
      <w:pPr>
        <w:spacing w:before="0" w:after="0" w:line="408" w:lineRule="exact"/>
        <w:ind w:left="0" w:right="0" w:firstLine="576"/>
        <w:jc w:val="left"/>
      </w:pPr>
      <w:r>
        <w:rPr/>
        <w:t xml:space="preserve">(i) A measure of achievement of higher education capital projects criteria; and</w:t>
      </w:r>
    </w:p>
    <w:p>
      <w:pPr>
        <w:spacing w:before="0" w:after="0" w:line="408" w:lineRule="exact"/>
        <w:ind w:left="0" w:right="0" w:firstLine="576"/>
        <w:jc w:val="left"/>
      </w:pPr>
      <w:r>
        <w:rPr/>
        <w:t xml:space="preserve">(ii) A measure to weigh the importance of those criteria.</w:t>
      </w:r>
    </w:p>
    <w:p>
      <w:pPr>
        <w:spacing w:before="0" w:after="0" w:line="408" w:lineRule="exact"/>
        <w:ind w:left="0" w:right="0" w:firstLine="576"/>
        <w:jc w:val="left"/>
      </w:pPr>
      <w:r>
        <w:rPr/>
        <w:t xml:space="preserve">(2) The office of financial management shall submit a state capital facility financing study to the governor and the appropriate legislative fiscal committees by December 1, 2018. In designing and conducting the study, the office of financial management shall consult with legislative and fiscal committee leadership. The study must include the establishment of expected cost benchmarks by facility type.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 Land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$11,537,000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This facility must house a kitchen, commissary, medical supply, and pharmacy operations to improve operational efficiency at western state hospital and at the special commitment center.</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$3,905,000</w:t>
      </w:r>
    </w:p>
    <w:p>
      <w:pPr>
        <w:spacing w:before="120" w:after="0" w:line="408" w:lineRule="exact"/>
        <w:ind w:left="0" w:right="0" w:firstLine="576"/>
        <w:jc w:val="left"/>
        <w:tabs>
          <w:tab w:val="right" w:leader="dot" w:pos="9936"/>
        </w:tabs>
      </w:pPr>
      <w:r>
        <w:rPr/>
        <w:t xml:space="preserve">Prior Biennia (Expenditures)</w:t>
      </w:r>
      <w:r>
        <w:tab/>
      </w:r>
      <w:r>
        <w:rPr/>
        <w:t xml:space="preserve">$545,000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$1,681,000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$5,769,000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$11,869,000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 Statewide (91000037)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$28,494,000</w:t>
      </w:r>
    </w:p>
    <w:p>
      <w:pPr>
        <w:spacing w:before="120" w:after="0" w:line="408" w:lineRule="exact"/>
        <w:ind w:left="0" w:right="0" w:firstLine="576"/>
        <w:jc w:val="left"/>
        <w:tabs>
          <w:tab w:val="right" w:leader="dot" w:pos="9936"/>
        </w:tabs>
      </w:pPr>
      <w:r>
        <w:rPr/>
        <w:t xml:space="preserve">Prior Biennia (Expenditures)</w:t>
      </w:r>
      <w:r>
        <w:tab/>
      </w:r>
      <w:r>
        <w:rPr/>
        <w:t xml:space="preserve">$3,506,000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$39,875,000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576"/>
        <w:jc w:val="left"/>
        <w:tabs>
          <w:tab w:val="right" w:leader="dot" w:pos="9936"/>
        </w:tabs>
      </w:pPr>
      <w:r>
        <w:rPr/>
        <w:t xml:space="preserve">Prior Biennia (Expenditures)</w:t>
      </w:r>
      <w:r>
        <w:tab/>
      </w:r>
      <w:r>
        <w:rPr/>
        <w:t xml:space="preserve">$3,650,000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Minor Works - Preservation Projects (30001013)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$8,685,000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 (3)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alloted.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$20,255,000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w:t>
      </w:r>
    </w:p>
    <w:p>
      <w:pPr>
        <w:spacing w:before="120" w:after="0" w:line="408" w:lineRule="exact"/>
        <w:ind w:left="0" w:right="0" w:firstLine="576"/>
        <w:jc w:val="left"/>
        <w:tabs>
          <w:tab w:val="right" w:leader="dot" w:pos="9936"/>
        </w:tabs>
      </w:pPr>
      <w:r>
        <w:rPr/>
        <w:t xml:space="preserve">Prior Biennia (Expenditures)</w:t>
      </w:r>
      <w:r>
        <w:tab/>
      </w:r>
      <w:r>
        <w:rPr/>
        <w:t xml:space="preserve">$12,697,000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$88,281,000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$98,276,000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$92,367,000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120" w:after="0" w:line="408" w:lineRule="exact"/>
        <w:ind w:left="0" w:right="0" w:firstLine="576"/>
        <w:jc w:val="left"/>
        <w:tabs>
          <w:tab w:val="right" w:leader="dot" w:pos="9936"/>
        </w:tabs>
      </w:pPr>
      <w:r>
        <w:rPr/>
        <w:t xml:space="preserve">Prior Biennia (Expenditures)</w:t>
      </w:r>
      <w:r>
        <w:tab/>
      </w:r>
      <w:r>
        <w:rPr/>
        <w:t xml:space="preserve">$12,987,000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w:t>
      </w:r>
    </w:p>
    <w:p>
      <w:pPr>
        <w:spacing w:before="120" w:after="0" w:line="408" w:lineRule="exact"/>
        <w:ind w:left="0" w:right="0" w:firstLine="576"/>
        <w:jc w:val="left"/>
        <w:tabs>
          <w:tab w:val="right" w:leader="dot" w:pos="9936"/>
        </w:tabs>
      </w:pPr>
      <w:r>
        <w:rPr/>
        <w:t xml:space="preserve">Prior Biennia (Expenditures)</w:t>
      </w:r>
      <w:r>
        <w:tab/>
      </w:r>
      <w:r>
        <w:rPr/>
        <w:t xml:space="preserve">$5,623,000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$5,239,000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$69,113,000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$1,014,000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$549,000</w:t>
      </w:r>
    </w:p>
    <w:p>
      <w:pPr>
        <w:tabs>
          <w:tab w:val="right" w:leader="dot" w:pos="9936"/>
        </w:tabs>
        <w:ind w:left="0" w:right="0" w:firstLine="1440"/>
      </w:pPr>
      <w:r>
        <w:rPr/>
        <w:t xml:space="preserve">Subtotal Reappropriation</w:t>
      </w:r>
      <w:r>
        <w:tab/>
      </w:r>
      <w:r>
        <w:rPr/>
        <w:t xml:space="preserve">$1,563,000</w:t>
      </w:r>
    </w:p>
    <w:p>
      <w:pPr>
        <w:spacing w:before="120" w:after="0" w:line="408" w:lineRule="exact"/>
        <w:ind w:left="0" w:right="0" w:firstLine="576"/>
        <w:jc w:val="left"/>
        <w:tabs>
          <w:tab w:val="right" w:leader="dot" w:pos="9936"/>
        </w:tabs>
      </w:pPr>
      <w:r>
        <w:rPr/>
        <w:t xml:space="preserve">Prior Biennia (Expenditures)</w:t>
      </w:r>
      <w:r>
        <w:tab/>
      </w:r>
      <w:r>
        <w:rPr/>
        <w:t xml:space="preserve">$37,471,000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$2,656,000</w:t>
      </w:r>
    </w:p>
    <w:p>
      <w:pPr>
        <w:spacing w:before="120" w:after="0" w:line="408" w:lineRule="exact"/>
        <w:ind w:left="0" w:right="0" w:firstLine="576"/>
        <w:jc w:val="left"/>
        <w:tabs>
          <w:tab w:val="right" w:leader="dot" w:pos="9936"/>
        </w:tabs>
      </w:pPr>
      <w:r>
        <w:rPr/>
        <w:t xml:space="preserve">Prior Biennia (Expenditures)</w:t>
      </w:r>
      <w:r>
        <w:tab/>
      </w:r>
      <w:r>
        <w:rPr/>
        <w:t xml:space="preserve">$30,614,000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$7,166,000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$22,343,000</w:t>
      </w:r>
    </w:p>
    <w:p>
      <w:pPr>
        <w:spacing w:before="120" w:after="0" w:line="408" w:lineRule="exact"/>
        <w:ind w:left="0" w:right="0" w:firstLine="576"/>
        <w:jc w:val="left"/>
        <w:tabs>
          <w:tab w:val="right" w:leader="dot" w:pos="9936"/>
        </w:tabs>
      </w:pPr>
      <w:r>
        <w:rPr/>
        <w:t xml:space="preserve">Prior Biennia (Expenditures)</w:t>
      </w:r>
      <w:r>
        <w:tab/>
      </w:r>
      <w:r>
        <w:rPr/>
        <w:t xml:space="preserve">$40,521,000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$4,488,000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$258,000</w:t>
      </w:r>
    </w:p>
    <w:p>
      <w:pPr>
        <w:spacing w:before="120" w:after="0" w:line="408" w:lineRule="exact"/>
        <w:ind w:left="0" w:right="0" w:firstLine="576"/>
        <w:jc w:val="left"/>
        <w:tabs>
          <w:tab w:val="right" w:leader="dot" w:pos="9936"/>
        </w:tabs>
      </w:pPr>
      <w:r>
        <w:rPr/>
        <w:t xml:space="preserve">Prior Biennia (Expenditures)</w:t>
      </w:r>
      <w:r>
        <w:tab/>
      </w:r>
      <w:r>
        <w:rPr/>
        <w:t xml:space="preserve">$14,944,000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$17,636,000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$20,390,000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$13,662,000</w:t>
      </w:r>
    </w:p>
    <w:p>
      <w:pPr>
        <w:spacing w:before="120" w:after="0" w:line="408" w:lineRule="exact"/>
        <w:ind w:left="0" w:right="0" w:firstLine="576"/>
        <w:jc w:val="left"/>
        <w:tabs>
          <w:tab w:val="right" w:leader="dot" w:pos="9936"/>
        </w:tabs>
      </w:pPr>
      <w:r>
        <w:rPr/>
        <w:t xml:space="preserve">Prior Biennia (Expenditures)</w:t>
      </w:r>
      <w:r>
        <w:tab/>
      </w:r>
      <w:r>
        <w:rPr/>
        <w:t xml:space="preserve">$36,338,000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$4,032,000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$158,312,000</w:t>
      </w:r>
    </w:p>
    <w:p>
      <w:pPr>
        <w:spacing w:before="120" w:after="0" w:line="408" w:lineRule="exact"/>
        <w:ind w:left="0" w:right="0" w:firstLine="576"/>
        <w:jc w:val="left"/>
        <w:tabs>
          <w:tab w:val="right" w:leader="dot" w:pos="9936"/>
        </w:tabs>
      </w:pPr>
      <w:r>
        <w:rPr/>
        <w:t xml:space="preserve">Prior Biennia (Expenditures)</w:t>
      </w:r>
      <w:r>
        <w:tab/>
      </w:r>
      <w:r>
        <w:rPr/>
        <w:t xml:space="preserve">$91,688,000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$4,993,000</w:t>
      </w:r>
    </w:p>
    <w:p>
      <w:pPr>
        <w:spacing w:before="120" w:after="0" w:line="408" w:lineRule="exact"/>
        <w:ind w:left="0" w:right="0" w:firstLine="576"/>
        <w:jc w:val="left"/>
        <w:tabs>
          <w:tab w:val="right" w:leader="dot" w:pos="9936"/>
        </w:tabs>
      </w:pPr>
      <w:r>
        <w:rPr/>
        <w:t xml:space="preserve">Prior Biennia (Expenditures)</w:t>
      </w:r>
      <w:r>
        <w:tab/>
      </w:r>
      <w:r>
        <w:rPr/>
        <w:t xml:space="preserve">$5,007,000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120" w:after="0" w:line="408" w:lineRule="exact"/>
        <w:ind w:left="0" w:right="0" w:firstLine="576"/>
        <w:jc w:val="left"/>
        <w:tabs>
          <w:tab w:val="right" w:leader="dot" w:pos="9936"/>
        </w:tabs>
      </w:pPr>
      <w:r>
        <w:rPr/>
        <w:t xml:space="preserve">Prior Biennia (Expenditures)</w:t>
      </w:r>
      <w:r>
        <w:tab/>
      </w:r>
      <w:r>
        <w:rPr/>
        <w:t xml:space="preserve">$2,834,000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$400,000 of the reappropriations in this section are provided solely for the department to contract with the city of Ruston for the cleanup and remediation of the Ruston Way tunnel. Funding for the remediation shall not be released to the city of Ruston unless the city of Ruston signs by January 1, 2018, an interlocal agreement with the city of Tacoma that provides for expediting the issuance of building and other related permits for the Point Ruston development.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$9,238,000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tabs>
          <w:tab w:val="right" w:leader="dot" w:pos="9936"/>
        </w:tabs>
        <w:ind w:left="0" w:right="0" w:firstLine="1440"/>
      </w:pPr>
      <w:r>
        <w:rPr/>
        <w:t xml:space="preserve">Subtotal Reappropriation</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$27,300,000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$2,578,000</w:t>
      </w:r>
    </w:p>
    <w:p>
      <w:pPr>
        <w:spacing w:before="120" w:after="0" w:line="408" w:lineRule="exact"/>
        <w:ind w:left="0" w:right="0" w:firstLine="576"/>
        <w:jc w:val="left"/>
        <w:tabs>
          <w:tab w:val="right" w:leader="dot" w:pos="9936"/>
        </w:tabs>
      </w:pPr>
      <w:r>
        <w:rPr/>
        <w:t xml:space="preserve">Prior Biennia (Expenditures)</w:t>
      </w:r>
      <w:r>
        <w:tab/>
      </w:r>
      <w:r>
        <w:rPr/>
        <w:t xml:space="preserve">$22,477,000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$7,123,000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$5,463,000</w:t>
      </w:r>
    </w:p>
    <w:p>
      <w:pPr>
        <w:tabs>
          <w:tab w:val="right" w:leader="dot" w:pos="9936"/>
        </w:tabs>
        <w:ind w:left="0" w:right="0" w:firstLine="1440"/>
      </w:pPr>
      <w:r>
        <w:rPr/>
        <w:t xml:space="preserve">Subtotal Reappropriation</w:t>
      </w:r>
      <w:r>
        <w:tab/>
      </w:r>
      <w:r>
        <w:rPr/>
        <w:t xml:space="preserve">$7,657,000</w:t>
      </w:r>
    </w:p>
    <w:p>
      <w:pPr>
        <w:spacing w:before="120" w:after="0" w:line="408" w:lineRule="exact"/>
        <w:ind w:left="0" w:right="0" w:firstLine="576"/>
        <w:jc w:val="left"/>
        <w:tabs>
          <w:tab w:val="right" w:leader="dot" w:pos="9936"/>
        </w:tabs>
      </w:pPr>
      <w:r>
        <w:rPr/>
        <w:t xml:space="preserve">Prior Biennia (Expenditures)</w:t>
      </w:r>
      <w:r>
        <w:tab/>
      </w:r>
      <w:r>
        <w:rPr/>
        <w:t xml:space="preserve">$66,843,000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$1,812,000</w:t>
      </w:r>
    </w:p>
    <w:p>
      <w:pPr>
        <w:spacing w:before="120" w:after="0" w:line="408" w:lineRule="exact"/>
        <w:ind w:left="0" w:right="0" w:firstLine="576"/>
        <w:jc w:val="left"/>
        <w:tabs>
          <w:tab w:val="right" w:leader="dot" w:pos="9936"/>
        </w:tabs>
      </w:pPr>
      <w:r>
        <w:rPr/>
        <w:t xml:space="preserve">Prior Biennia (Expenditures)</w:t>
      </w:r>
      <w:r>
        <w:tab/>
      </w:r>
      <w:r>
        <w:rPr/>
        <w:t xml:space="preserve">$30,288,000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$25,385,000</w:t>
      </w:r>
    </w:p>
    <w:p>
      <w:pPr>
        <w:spacing w:before="120" w:after="0" w:line="408" w:lineRule="exact"/>
        <w:ind w:left="0" w:right="0" w:firstLine="576"/>
        <w:jc w:val="left"/>
        <w:tabs>
          <w:tab w:val="right" w:leader="dot" w:pos="9936"/>
        </w:tabs>
      </w:pPr>
      <w:r>
        <w:rPr/>
        <w:t xml:space="preserve">Prior Biennia (Expenditures)</w:t>
      </w:r>
      <w:r>
        <w:tab/>
      </w:r>
      <w:r>
        <w:rPr/>
        <w:t xml:space="preserve">$37,152,000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$6,852,000</w:t>
      </w:r>
    </w:p>
    <w:p>
      <w:pPr>
        <w:tabs>
          <w:tab w:val="right" w:leader="dot" w:pos="9936"/>
        </w:tabs>
        <w:ind w:left="0" w:right="0" w:firstLine="1440"/>
      </w:pPr>
      <w:r>
        <w:rPr/>
        <w:t xml:space="preserve">Subtotal Reappropriation</w:t>
      </w:r>
      <w:r>
        <w:tab/>
      </w:r>
      <w:r>
        <w:rPr/>
        <w:t xml:space="preserve">$16,710,000</w:t>
      </w:r>
    </w:p>
    <w:p>
      <w:pPr>
        <w:spacing w:before="120" w:after="0" w:line="408" w:lineRule="exact"/>
        <w:ind w:left="0" w:right="0" w:firstLine="576"/>
        <w:jc w:val="left"/>
        <w:tabs>
          <w:tab w:val="right" w:leader="dot" w:pos="9936"/>
        </w:tabs>
      </w:pPr>
      <w:r>
        <w:rPr/>
        <w:t xml:space="preserve">Prior Biennia (Expenditures)</w:t>
      </w:r>
      <w:r>
        <w:tab/>
      </w:r>
      <w:r>
        <w:rPr/>
        <w:t xml:space="preserve">$5,790,000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$1,499,000</w:t>
      </w:r>
    </w:p>
    <w:p>
      <w:pPr>
        <w:spacing w:before="120" w:after="0" w:line="408" w:lineRule="exact"/>
        <w:ind w:left="0" w:right="0" w:firstLine="576"/>
        <w:jc w:val="left"/>
        <w:tabs>
          <w:tab w:val="right" w:leader="dot" w:pos="9936"/>
        </w:tabs>
      </w:pPr>
      <w:r>
        <w:rPr/>
        <w:t xml:space="preserve">Prior Biennia (Expenditures)</w:t>
      </w:r>
      <w:r>
        <w:tab/>
      </w:r>
      <w:r>
        <w:rPr/>
        <w:t xml:space="preserve">$2,001,000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$9,413,000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$139,671,000</w:t>
      </w:r>
    </w:p>
    <w:p>
      <w:pPr>
        <w:tabs>
          <w:tab w:val="right" w:leader="dot" w:pos="9936"/>
        </w:tabs>
        <w:ind w:left="0" w:right="0" w:firstLine="1440"/>
      </w:pPr>
      <w:r>
        <w:rPr/>
        <w:t xml:space="preserve">Subtotal Reappropriation</w:t>
      </w:r>
      <w:r>
        <w:tab/>
      </w:r>
      <w:r>
        <w:rPr/>
        <w:t xml:space="preserve">$189,671,000</w:t>
      </w:r>
    </w:p>
    <w:p>
      <w:pPr>
        <w:spacing w:before="120" w:after="0" w:line="408" w:lineRule="exact"/>
        <w:ind w:left="0" w:right="0" w:firstLine="576"/>
        <w:jc w:val="left"/>
        <w:tabs>
          <w:tab w:val="right" w:leader="dot" w:pos="9936"/>
        </w:tabs>
      </w:pPr>
      <w:r>
        <w:rPr/>
        <w:t xml:space="preserve">Prior Biennia (Expenditures)</w:t>
      </w:r>
      <w:r>
        <w:tab/>
      </w:r>
      <w:r>
        <w:rPr/>
        <w:t xml:space="preserve">$13,329,000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$7,697,000</w:t>
      </w:r>
    </w:p>
    <w:p>
      <w:pPr>
        <w:spacing w:before="120" w:after="0" w:line="408" w:lineRule="exact"/>
        <w:ind w:left="0" w:right="0" w:firstLine="576"/>
        <w:jc w:val="left"/>
        <w:tabs>
          <w:tab w:val="right" w:leader="dot" w:pos="9936"/>
        </w:tabs>
      </w:pPr>
      <w:r>
        <w:rPr/>
        <w:t xml:space="preserve">Prior Biennia (Expenditures)</w:t>
      </w:r>
      <w:r>
        <w:tab/>
      </w:r>
      <w:r>
        <w:rPr/>
        <w:t xml:space="preserve">$4,449,000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$12,763,000</w:t>
      </w:r>
    </w:p>
    <w:p>
      <w:pPr>
        <w:spacing w:before="120" w:after="0" w:line="408" w:lineRule="exact"/>
        <w:ind w:left="0" w:right="0" w:firstLine="576"/>
        <w:jc w:val="left"/>
        <w:tabs>
          <w:tab w:val="right" w:leader="dot" w:pos="9936"/>
        </w:tabs>
      </w:pPr>
      <w:r>
        <w:rPr/>
        <w:t xml:space="preserve">Prior Biennia (Expenditures)</w:t>
      </w:r>
      <w:r>
        <w:tab/>
      </w:r>
      <w:r>
        <w:rPr/>
        <w:t xml:space="preserve">$1,618,000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$2,189,000</w:t>
      </w:r>
    </w:p>
    <w:p>
      <w:pPr>
        <w:tabs>
          <w:tab w:val="right" w:leader="dot" w:pos="9936"/>
        </w:tabs>
        <w:ind w:left="0" w:right="0" w:firstLine="1440"/>
      </w:pPr>
      <w:r>
        <w:rPr/>
        <w:t xml:space="preserve">Subtotal Reappropriation</w:t>
      </w:r>
      <w:r>
        <w:tab/>
      </w:r>
      <w:r>
        <w:rPr/>
        <w:t xml:space="preserve">$7,146,000</w:t>
      </w:r>
    </w:p>
    <w:p>
      <w:pPr>
        <w:spacing w:before="120" w:after="0" w:line="408" w:lineRule="exact"/>
        <w:ind w:left="0" w:right="0" w:firstLine="576"/>
        <w:jc w:val="left"/>
        <w:tabs>
          <w:tab w:val="right" w:leader="dot" w:pos="9936"/>
        </w:tabs>
      </w:pPr>
      <w:r>
        <w:rPr/>
        <w:t xml:space="preserve">Prior Biennia (Expenditures)</w:t>
      </w:r>
      <w:r>
        <w:tab/>
      </w:r>
      <w:r>
        <w:rPr/>
        <w:t xml:space="preserve">$11,854,000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$2,861,000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$17,713,000</w:t>
      </w:r>
    </w:p>
    <w:p>
      <w:pPr>
        <w:spacing w:before="120" w:after="0" w:line="408" w:lineRule="exact"/>
        <w:ind w:left="0" w:right="0" w:firstLine="576"/>
        <w:jc w:val="left"/>
        <w:tabs>
          <w:tab w:val="right" w:leader="dot" w:pos="9936"/>
        </w:tabs>
      </w:pPr>
      <w:r>
        <w:rPr/>
        <w:t xml:space="preserve">Prior Biennia (Expenditures)</w:t>
      </w:r>
      <w:r>
        <w:tab/>
      </w:r>
      <w:r>
        <w:rPr/>
        <w:t xml:space="preserve">$12,287,000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$3,829,000</w:t>
      </w:r>
    </w:p>
    <w:p>
      <w:pPr>
        <w:spacing w:before="120" w:after="0" w:line="408" w:lineRule="exact"/>
        <w:ind w:left="0" w:right="0" w:firstLine="576"/>
        <w:jc w:val="left"/>
        <w:tabs>
          <w:tab w:val="right" w:leader="dot" w:pos="9936"/>
        </w:tabs>
      </w:pPr>
      <w:r>
        <w:rPr/>
        <w:t xml:space="preserve">Prior Biennia (Expenditures)</w:t>
      </w:r>
      <w:r>
        <w:tab/>
      </w:r>
      <w:r>
        <w:rPr/>
        <w:t xml:space="preserve">$1,171,000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$8,400,000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$1,201,000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$18,090,000</w:t>
      </w:r>
    </w:p>
    <w:p>
      <w:pPr>
        <w:spacing w:before="120" w:after="0" w:line="408" w:lineRule="exact"/>
        <w:ind w:left="0" w:right="0" w:firstLine="576"/>
        <w:jc w:val="left"/>
        <w:tabs>
          <w:tab w:val="right" w:leader="dot" w:pos="9936"/>
        </w:tabs>
      </w:pPr>
      <w:r>
        <w:rPr/>
        <w:t xml:space="preserve">Prior Biennia (Expenditures)</w:t>
      </w:r>
      <w:r>
        <w:tab/>
      </w:r>
      <w:r>
        <w:rPr/>
        <w:t xml:space="preserve">$31,910,000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$1,757,000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w:t>
      </w:r>
    </w:p>
    <w:p>
      <w:pPr>
        <w:spacing w:before="120" w:after="0" w:line="408" w:lineRule="exact"/>
        <w:ind w:left="0" w:right="0" w:firstLine="576"/>
        <w:jc w:val="left"/>
        <w:tabs>
          <w:tab w:val="right" w:leader="dot" w:pos="9936"/>
        </w:tabs>
      </w:pPr>
      <w:r>
        <w:rPr/>
        <w:t xml:space="preserve">Prior Biennia (Expenditures)</w:t>
      </w:r>
      <w:r>
        <w:tab/>
      </w:r>
      <w:r>
        <w:rPr/>
        <w:t xml:space="preserve">$1,870,000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$1,823,000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$1,138,000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t xml:space="preserve">$7,149,000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$827,000</w:t>
      </w:r>
    </w:p>
    <w:p>
      <w:pPr>
        <w:spacing w:before="120" w:after="0" w:line="408" w:lineRule="exact"/>
        <w:ind w:left="0" w:right="0" w:firstLine="576"/>
        <w:jc w:val="left"/>
        <w:tabs>
          <w:tab w:val="right" w:leader="dot" w:pos="9936"/>
        </w:tabs>
      </w:pPr>
      <w:r>
        <w:rPr/>
        <w:t xml:space="preserve">Prior Biennia (Expenditures)</w:t>
      </w:r>
      <w:r>
        <w:tab/>
      </w:r>
      <w:r>
        <w:rPr/>
        <w:t xml:space="preserve">$7,098,000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$9,708,000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$1,008,000</w:t>
      </w:r>
    </w:p>
    <w:p>
      <w:pPr>
        <w:spacing w:before="120" w:after="0" w:line="408" w:lineRule="exact"/>
        <w:ind w:left="0" w:right="0" w:firstLine="576"/>
        <w:jc w:val="left"/>
        <w:tabs>
          <w:tab w:val="right" w:leader="dot" w:pos="9936"/>
        </w:tabs>
      </w:pPr>
      <w:r>
        <w:rPr/>
        <w:t xml:space="preserve">Prior Biennia (Expenditures)</w:t>
      </w:r>
      <w:r>
        <w:tab/>
      </w:r>
      <w:r>
        <w:rPr/>
        <w:t xml:space="preserve">$10,109,000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 From Center of Hist District (30000960)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$7,110,000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Demonstrations Low Interest Loans (92000009)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6020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$535,000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tabs>
          <w:tab w:val="right" w:leader="dot" w:pos="9936"/>
        </w:tabs>
        <w:ind w:left="0" w:right="0" w:firstLine="1440"/>
      </w:pPr>
      <w:r>
        <w:rPr/>
        <w:t xml:space="preserve">Subtotal Reappropriation</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$14,820,000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$6,980,000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$4,628,000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$24,475,000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$6,857,000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$2,951,000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$95,000</w:t>
      </w:r>
    </w:p>
    <w:p>
      <w:pPr>
        <w:spacing w:before="120" w:after="0" w:line="408" w:lineRule="exact"/>
        <w:ind w:left="0" w:right="0" w:firstLine="576"/>
        <w:jc w:val="left"/>
        <w:tabs>
          <w:tab w:val="right" w:leader="dot" w:pos="9936"/>
        </w:tabs>
      </w:pPr>
      <w:r>
        <w:rPr/>
        <w:t xml:space="preserve">Prior Biennia (Expenditures)</w:t>
      </w:r>
      <w:r>
        <w:tab/>
      </w:r>
      <w:r>
        <w:rPr/>
        <w:t xml:space="preserve">$836,000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$1,285,000</w:t>
      </w:r>
    </w:p>
    <w:p>
      <w:pPr>
        <w:spacing w:before="120" w:after="0" w:line="408" w:lineRule="exact"/>
        <w:ind w:left="0" w:right="0" w:firstLine="576"/>
        <w:jc w:val="left"/>
        <w:tabs>
          <w:tab w:val="right" w:leader="dot" w:pos="9936"/>
        </w:tabs>
      </w:pPr>
      <w:r>
        <w:rPr/>
        <w:t xml:space="preserve">Prior Biennia (Expenditures)</w:t>
      </w:r>
      <w:r>
        <w:tab/>
      </w:r>
      <w:r>
        <w:rPr/>
        <w:t xml:space="preserve">$1,815,000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$1,161,000</w:t>
      </w:r>
    </w:p>
    <w:p>
      <w:pPr>
        <w:spacing w:before="120" w:after="0" w:line="408" w:lineRule="exact"/>
        <w:ind w:left="0" w:right="0" w:firstLine="576"/>
        <w:jc w:val="left"/>
        <w:tabs>
          <w:tab w:val="right" w:leader="dot" w:pos="9936"/>
        </w:tabs>
      </w:pPr>
      <w:r>
        <w:rPr/>
        <w:t xml:space="preserve">Prior Biennia (Expenditures)</w:t>
      </w:r>
      <w:r>
        <w:tab/>
      </w:r>
      <w:r>
        <w:rPr/>
        <w:t xml:space="preserve">$10,673,000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(91000046)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$18,954,000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$25,476,000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$102,435,000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 is provided solely for the east Columbia irrigation district.</w:t>
      </w:r>
    </w:p>
    <w:p>
      <w:pPr>
        <w:spacing w:before="0" w:after="0" w:line="408" w:lineRule="exact"/>
        <w:ind w:left="0" w:right="0" w:firstLine="576"/>
        <w:jc w:val="left"/>
      </w:pPr>
      <w:r>
        <w:rPr/>
        <w:t xml:space="preserve">(2) $5,000,000 of the appropriation is provided solely for a forty-seven and one-half mile pipeline for full capacity.</w:t>
      </w:r>
    </w:p>
    <w:p>
      <w:pPr>
        <w:spacing w:before="0" w:after="0" w:line="408" w:lineRule="exact"/>
        <w:ind w:left="0" w:right="0" w:firstLine="576"/>
        <w:jc w:val="left"/>
      </w:pPr>
      <w:r>
        <w:rPr/>
        <w:t xml:space="preserve">(3) $2,000,000 of the appropriation is provided solely for Icicle Creek integrated planning.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$14,690,000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$28,940,000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$100,940,000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clean water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(i) The department of transportation's electric vehicle infrastructure bank program;</w:t>
      </w:r>
    </w:p>
    <w:p>
      <w:pPr>
        <w:spacing w:before="0" w:after="0" w:line="408" w:lineRule="exact"/>
        <w:ind w:left="0" w:right="0" w:firstLine="576"/>
        <w:jc w:val="left"/>
      </w:pPr>
      <w:r>
        <w:rPr/>
        <w:t xml:space="preserve">(ii) The state alternative fuel commercial vehicle tax credit;</w:t>
      </w:r>
    </w:p>
    <w:p>
      <w:pPr>
        <w:spacing w:before="0" w:after="0" w:line="408" w:lineRule="exact"/>
        <w:ind w:left="0" w:right="0" w:firstLine="576"/>
        <w:jc w:val="left"/>
      </w:pPr>
      <w:r>
        <w:rPr/>
        <w:t xml:space="preserve">(iii) The state sales and use tax exemption for clean vehicles; and</w:t>
      </w:r>
    </w:p>
    <w:p>
      <w:pPr>
        <w:spacing w:before="0" w:after="0" w:line="408" w:lineRule="exact"/>
        <w:ind w:left="0" w:right="0" w:firstLine="576"/>
        <w:jc w:val="left"/>
      </w:pPr>
      <w:r>
        <w:rPr/>
        <w:t xml:space="preserve">(iv) Public transportation grant programs administered by the department of transportation.</w:t>
      </w:r>
    </w:p>
    <w:p>
      <w:pPr>
        <w:spacing w:before="0" w:after="0" w:line="408" w:lineRule="exact"/>
        <w:ind w:left="0" w:right="0" w:firstLine="576"/>
        <w:jc w:val="left"/>
      </w:pPr>
      <w:r>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mitigation plan and the stewardship of project implementation must adhere to the following principles:</w:t>
      </w:r>
    </w:p>
    <w:p>
      <w:pPr>
        <w:spacing w:before="0" w:after="0" w:line="408" w:lineRule="exact"/>
        <w:ind w:left="0" w:right="0" w:firstLine="576"/>
        <w:jc w:val="left"/>
      </w:pPr>
      <w:r>
        <w:rPr/>
        <w:t xml:space="preserve">(a) Maximize air quality and public health benefits relating to the reduction of nitrogen oxides emissions;</w:t>
      </w:r>
    </w:p>
    <w:p>
      <w:pPr>
        <w:spacing w:before="0" w:after="0" w:line="408" w:lineRule="exact"/>
        <w:ind w:left="0" w:right="0" w:firstLine="576"/>
        <w:jc w:val="left"/>
      </w:pPr>
      <w:r>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t xml:space="preserve">(e) Consideration must be given to investments across a range of fueling technologies and emissions reduction technologies; and</w:t>
      </w:r>
    </w:p>
    <w:p>
      <w:pPr>
        <w:spacing w:before="0" w:after="0" w:line="408" w:lineRule="exact"/>
        <w:ind w:left="0" w:right="0" w:firstLine="576"/>
        <w:jc w:val="left"/>
      </w:pPr>
      <w:r>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(4)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t xml:space="preserve">(iv) No more than twenty percent of funding provided during the 2017-2019 biennium for airport ground support equipment;</w:t>
      </w:r>
    </w:p>
    <w:p>
      <w:pPr>
        <w:spacing w:before="0" w:after="0" w:line="408" w:lineRule="exact"/>
        <w:ind w:left="0" w:right="0" w:firstLine="576"/>
        <w:jc w:val="left"/>
      </w:pPr>
      <w:r>
        <w:rPr/>
        <w:t xml:space="preserve">(v) No more than twenty percent of funding provided during the 2017-2019 biennium for ocean-going vessels' shore power;</w:t>
      </w:r>
    </w:p>
    <w:p>
      <w:pPr>
        <w:spacing w:before="0" w:after="0" w:line="408" w:lineRule="exact"/>
        <w:ind w:left="0" w:right="0" w:firstLine="576"/>
        <w:jc w:val="left"/>
      </w:pPr>
      <w:r>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$450,000 of the appropriation is provided solely to retain a qualified consultant or consultants to develop technical water resources studies needed to support negotiation of a basin-wide water management solution in Whatcom county that includes the following elements:</w:t>
      </w:r>
    </w:p>
    <w:p>
      <w:pPr>
        <w:spacing w:before="0" w:after="0" w:line="408" w:lineRule="exact"/>
        <w:ind w:left="0" w:right="0" w:firstLine="576"/>
        <w:jc w:val="left"/>
      </w:pPr>
      <w:r>
        <w:rPr/>
        <w:t xml:space="preserve">(i) Instream flow;</w:t>
      </w:r>
    </w:p>
    <w:p>
      <w:pPr>
        <w:spacing w:before="0" w:after="0" w:line="408" w:lineRule="exact"/>
        <w:ind w:left="0" w:right="0" w:firstLine="576"/>
        <w:jc w:val="left"/>
      </w:pPr>
      <w:r>
        <w:rPr/>
        <w:t xml:space="preserve">(ii) Water quality;</w:t>
      </w:r>
    </w:p>
    <w:p>
      <w:pPr>
        <w:spacing w:before="0" w:after="0" w:line="408" w:lineRule="exact"/>
        <w:ind w:left="0" w:right="0" w:firstLine="576"/>
        <w:jc w:val="left"/>
      </w:pPr>
      <w:r>
        <w:rPr/>
        <w:t xml:space="preserve">(iii) Habitat restoration;</w:t>
      </w:r>
    </w:p>
    <w:p>
      <w:pPr>
        <w:spacing w:before="0" w:after="0" w:line="408" w:lineRule="exact"/>
        <w:ind w:left="0" w:right="0" w:firstLine="576"/>
        <w:jc w:val="left"/>
      </w:pPr>
      <w:r>
        <w:rPr/>
        <w:t xml:space="preserve">(iv) Water supply;</w:t>
      </w:r>
    </w:p>
    <w:p>
      <w:pPr>
        <w:spacing w:before="0" w:after="0" w:line="408" w:lineRule="exact"/>
        <w:ind w:left="0" w:right="0" w:firstLine="576"/>
        <w:jc w:val="left"/>
      </w:pPr>
      <w:r>
        <w:rPr/>
        <w:t xml:space="preserve">(v) Accountability.</w:t>
      </w:r>
    </w:p>
    <w:p>
      <w:pPr>
        <w:spacing w:before="0" w:after="0" w:line="408" w:lineRule="exact"/>
        <w:ind w:left="0" w:right="0" w:firstLine="576"/>
        <w:jc w:val="left"/>
      </w:pPr>
      <w:r>
        <w:rPr/>
        <w:t xml:space="preserve">(b) The amounts provided in this subsection must be used to accomplish three primary tasks related to the instream flow and water supply elements. Of the amounts provided in this subsection:</w:t>
      </w:r>
    </w:p>
    <w:p>
      <w:pPr>
        <w:spacing w:before="0" w:after="0" w:line="408" w:lineRule="exact"/>
        <w:ind w:left="0" w:right="0" w:firstLine="576"/>
        <w:jc w:val="left"/>
      </w:pPr>
      <w:r>
        <w:rPr/>
        <w:t xml:space="preserve">(i) $50,000 is provided solely for an analysis of existing water rights, including but not limited to water rights relinquishment and mitigated water rights;</w:t>
      </w:r>
    </w:p>
    <w:p>
      <w:pPr>
        <w:spacing w:before="0" w:after="0" w:line="408" w:lineRule="exact"/>
        <w:ind w:left="0" w:right="0" w:firstLine="576"/>
        <w:jc w:val="left"/>
      </w:pPr>
      <w:r>
        <w:rPr/>
        <w:t xml:space="preserve">(ii) $100,000 is provided solely for an analysis of water conservation and efficiency measures to be utilized by out-of-stream water users; and</w:t>
      </w:r>
    </w:p>
    <w:p>
      <w:pPr>
        <w:spacing w:before="0" w:after="0" w:line="408" w:lineRule="exact"/>
        <w:ind w:left="0" w:right="0" w:firstLine="576"/>
        <w:jc w:val="left"/>
      </w:pPr>
      <w:r>
        <w:rPr/>
        <w:t xml:space="preserve">(iii) $300,000 is provided solely for an analysis of potential new or modified water infrastructure to supply water for out-of-stream and instream uses, including but not limited to storage, pipelines, aquifer recharge, reclaimed water, and other projects.</w:t>
      </w:r>
    </w:p>
    <w:p>
      <w:pPr>
        <w:spacing w:before="0" w:after="0" w:line="408" w:lineRule="exact"/>
        <w:ind w:left="0" w:right="0" w:firstLine="576"/>
        <w:jc w:val="left"/>
      </w:pPr>
      <w:r>
        <w:rPr/>
        <w:t xml:space="preserve">(c) The resulting planning-level analysis are subject to review through a series of public workshops, where workshop participants must develop project screening criteria and select alternatives for further evaluation.</w:t>
      </w:r>
    </w:p>
    <w:p>
      <w:pPr>
        <w:spacing w:before="0" w:after="0" w:line="408" w:lineRule="exact"/>
        <w:ind w:left="0" w:right="0" w:firstLine="576"/>
        <w:jc w:val="left"/>
      </w:pPr>
      <w:r>
        <w:rPr/>
        <w:t xml:space="preserve">(d) Overall, this work must be designed to meet water resource needs for both instream and out-of-stream needs, must be capable of supporting future water resource agreements protective of senior water rights holders, and must be methodical and transparent.</w:t>
      </w:r>
    </w:p>
    <w:p>
      <w:pPr>
        <w:spacing w:before="0" w:after="0" w:line="408" w:lineRule="exact"/>
        <w:ind w:left="0" w:right="0" w:firstLine="576"/>
        <w:jc w:val="left"/>
      </w:pPr>
      <w:r>
        <w:rPr/>
        <w:t xml:space="preserve">(e) The department must establish a steering committee to develop the scope of work for the various analyses, which must include major water resource stakeholders and federally recognized tribes.</w:t>
      </w:r>
    </w:p>
    <w:p>
      <w:pPr>
        <w:spacing w:before="0" w:after="0" w:line="408" w:lineRule="exact"/>
        <w:ind w:left="0" w:right="0" w:firstLine="576"/>
        <w:jc w:val="left"/>
      </w:pPr>
      <w:r>
        <w:rPr/>
        <w:t xml:space="preserve">(2) $2,500,000 of the appropriation is provided solely for Dungeness off-channel reservoir.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$11,528,000</w:t>
      </w:r>
    </w:p>
    <w:p>
      <w:pPr>
        <w:tabs>
          <w:tab w:val="right" w:leader="dot" w:pos="9936"/>
        </w:tabs>
        <w:ind w:left="0" w:right="0" w:firstLine="1440"/>
      </w:pPr>
      <w:r>
        <w:rPr/>
        <w:t xml:space="preserve">Subtotal Reappropriation</w:t>
      </w:r>
      <w:r>
        <w:tab/>
      </w:r>
      <w:r>
        <w:rPr/>
        <w:t xml:space="preserve">$30,053,000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$5,538,000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identified in LEAP capital document number 2017-6H, developed June 30, 2017.</w:t>
      </w:r>
    </w:p>
    <w:p>
      <w:pPr>
        <w:spacing w:before="0" w:after="0" w:line="408" w:lineRule="exact"/>
        <w:ind w:left="0" w:right="0" w:firstLine="576"/>
        <w:jc w:val="left"/>
      </w:pPr>
      <w:r>
        <w:rPr/>
        <w:t xml:space="preserve">(2) One percent of the farm and forest account</w:t>
      </w:r>
      <w:r>
        <w:rPr>
          <w:rFonts w:ascii="Times New Roman" w:hAnsi="Times New Roman"/>
        </w:rPr>
        <w:t xml:space="preserve">—</w:t>
      </w:r>
      <w:r>
        <w:rPr/>
        <w:t xml:space="preserve">state is provided solely for the prioritized list of projects to be provided by the recreation and conservation funding board by November 1, 2017, pursuant to section 11, chapter 149, Laws of 2016, and the appropriated funds may be spent after the board provides the list.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2017-4H,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2017-5H,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$18,328,000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$3,590,000</w:t>
      </w:r>
    </w:p>
    <w:p>
      <w:pPr>
        <w:tabs>
          <w:tab w:val="right" w:leader="dot" w:pos="9936"/>
        </w:tabs>
        <w:ind w:left="0" w:right="0" w:firstLine="1440"/>
      </w:pPr>
      <w:r>
        <w:rPr/>
        <w:t xml:space="preserve">Subtotal Appropriation</w:t>
      </w:r>
      <w:r>
        <w:tab/>
      </w:r>
      <w:r>
        <w:rPr/>
        <w:t xml:space="preserve">$8,540,000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2017-19 (92000048)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2017.</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Pursuant to chapter 248, Laws of 2017 (E2SHB 1711) (forest health treatments) and chapter 95, Laws of 2017 (2SSB 5546) (forest health assessment and treatment framework), $450,000 of the appropriation is provided solely for planning and analysis to support a prioritized list of forest health treatments, and that is the maximum amount the department may expend for this purpose.</w:t>
      </w:r>
    </w:p>
    <w:p>
      <w:pPr>
        <w:spacing w:before="0" w:after="0" w:line="408" w:lineRule="exact"/>
        <w:ind w:left="0" w:right="0" w:firstLine="576"/>
        <w:jc w:val="left"/>
      </w:pPr>
      <w:r>
        <w:rPr/>
        <w:t xml:space="preserve">(2) $6,400,000 is provided solely to reduce hazards to public safety, establish new firewise communities, and implement thinning and fuels reduction activities on state trust lands and high-risk private lands. The department shall work in conjunction with communities, counties, fire districts, and conservation districts in implementing firewise activities, including through grants to these entities for project implementation. The following areas are eligible:</w:t>
      </w:r>
    </w:p>
    <w:p>
      <w:pPr>
        <w:spacing w:before="0" w:after="0" w:line="408" w:lineRule="exact"/>
        <w:ind w:left="0" w:right="0" w:firstLine="576"/>
        <w:jc w:val="left"/>
      </w:pPr>
      <w:r>
        <w:rPr/>
        <w:t xml:space="preserve">(a) Republic to Wauconda;</w:t>
      </w:r>
    </w:p>
    <w:p>
      <w:pPr>
        <w:spacing w:before="0" w:after="0" w:line="408" w:lineRule="exact"/>
        <w:ind w:left="0" w:right="0" w:firstLine="576"/>
        <w:jc w:val="left"/>
      </w:pPr>
      <w:r>
        <w:rPr/>
        <w:t xml:space="preserve">(b) North Spokane;</w:t>
      </w:r>
    </w:p>
    <w:p>
      <w:pPr>
        <w:spacing w:before="0" w:after="0" w:line="408" w:lineRule="exact"/>
        <w:ind w:left="0" w:right="0" w:firstLine="576"/>
        <w:jc w:val="left"/>
      </w:pPr>
      <w:r>
        <w:rPr/>
        <w:t xml:space="preserve">(c) Kittitas to Manastash; and</w:t>
      </w:r>
    </w:p>
    <w:p>
      <w:pPr>
        <w:spacing w:before="0" w:after="0" w:line="408" w:lineRule="exact"/>
        <w:ind w:left="0" w:right="0" w:firstLine="576"/>
        <w:jc w:val="left"/>
      </w:pPr>
      <w:r>
        <w:rPr/>
        <w:t xml:space="preserve">(d) Klickitat to Goldendale.</w:t>
      </w:r>
    </w:p>
    <w:p>
      <w:pPr>
        <w:spacing w:before="0" w:after="0" w:line="408" w:lineRule="exact"/>
        <w:ind w:left="0" w:right="0" w:firstLine="576"/>
        <w:jc w:val="left"/>
      </w:pPr>
      <w:r>
        <w:rPr/>
        <w:t xml:space="preserve">(3) $453,000 is provided solely to implement controlled burning treatments on one thousand acres of state trust land in southeast Stevens and northwest Spokane county.</w:t>
      </w:r>
    </w:p>
    <w:p>
      <w:pPr>
        <w:spacing w:before="0" w:after="0" w:line="408" w:lineRule="exact"/>
        <w:ind w:left="0" w:right="0" w:firstLine="576"/>
        <w:jc w:val="left"/>
      </w:pPr>
      <w:r>
        <w:rPr/>
        <w:t xml:space="preserve">(4) $500,000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(5) $2,500,000 is provided solely for the "good neighbor" cross-boundary competitive grants for projects on federal land that support existing and planned state and local hazard reduction investments, of which $1,600,000 is provided solely for the north central Washington forest health collaborative, and $650,000 is provided solely for the Tapash sustainable forests collaborative.</w:t>
      </w:r>
    </w:p>
    <w:p>
      <w:pPr>
        <w:spacing w:before="0" w:after="0" w:line="408" w:lineRule="exact"/>
        <w:ind w:left="0" w:right="0" w:firstLine="576"/>
        <w:jc w:val="left"/>
      </w:pPr>
      <w:r>
        <w:rPr/>
        <w:t xml:space="preserve">(6) $1,700,000 is provided solely for state trust land reforestation in wildfire-damaged areas.</w:t>
      </w:r>
    </w:p>
    <w:p>
      <w:pPr>
        <w:spacing w:before="0" w:after="0" w:line="408" w:lineRule="exact"/>
        <w:ind w:left="0" w:right="0" w:firstLine="576"/>
        <w:jc w:val="left"/>
      </w:pPr>
      <w:r>
        <w:rPr/>
        <w:t xml:space="preserve">(7) $997,000 is provided solely to perform tree thinning, pruning, and brush disposal. The department must contract with the Washington conservation corps and national student conservation association programs, including the veterans fire corps program, to perform the work.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 APPROPRIATION</w:t>
      </w:r>
      <w:r>
        <w:tab/>
      </w:r>
      <w:r>
        <w:rPr/>
        <w:t xml:space="preserve">$1,000,000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 </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7029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$98,000</w:t>
      </w:r>
    </w:p>
    <w:p>
      <w:pPr>
        <w:spacing w:before="120" w:after="0" w:line="408" w:lineRule="exact"/>
        <w:ind w:left="0" w:right="0" w:firstLine="576"/>
        <w:jc w:val="left"/>
        <w:tabs>
          <w:tab w:val="right" w:leader="dot" w:pos="9936"/>
        </w:tabs>
      </w:pPr>
      <w:r>
        <w:rPr/>
        <w:t xml:space="preserve">Prior Biennia (Expenditures)</w:t>
      </w:r>
      <w:r>
        <w:tab/>
      </w:r>
      <w:r>
        <w:rPr/>
        <w:t xml:space="preserve">$747,225,000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$34,995,000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$389,439,000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$1,202,000</w:t>
      </w:r>
    </w:p>
    <w:p>
      <w:pPr>
        <w:spacing w:before="120" w:after="0" w:line="408" w:lineRule="exact"/>
        <w:ind w:left="0" w:right="0" w:firstLine="576"/>
        <w:jc w:val="left"/>
        <w:tabs>
          <w:tab w:val="right" w:leader="dot" w:pos="9936"/>
        </w:tabs>
      </w:pPr>
      <w:r>
        <w:rPr/>
        <w:t xml:space="preserve">Prior Biennia (Expenditures)</w:t>
      </w:r>
      <w:r>
        <w:tab/>
      </w:r>
      <w:r>
        <w:rPr/>
        <w:t xml:space="preserve">$528,850,000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$19,144,000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$37,201,000</w:t>
      </w:r>
    </w:p>
    <w:p>
      <w:pPr>
        <w:spacing w:before="120" w:after="0" w:line="408" w:lineRule="exact"/>
        <w:ind w:left="0" w:right="0" w:firstLine="576"/>
        <w:jc w:val="left"/>
        <w:tabs>
          <w:tab w:val="right" w:leader="dot" w:pos="9936"/>
        </w:tabs>
      </w:pPr>
      <w:r>
        <w:rPr/>
        <w:t xml:space="preserve">Prior Biennia (Expenditures)</w:t>
      </w:r>
      <w:r>
        <w:tab/>
      </w:r>
      <w:r>
        <w:rPr/>
        <w:t xml:space="preserve">$350,181,000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$204,679,000</w:t>
      </w:r>
    </w:p>
    <w:p>
      <w:pPr>
        <w:tabs>
          <w:tab w:val="right" w:leader="dot" w:pos="9936"/>
        </w:tabs>
        <w:ind w:left="0" w:right="0" w:firstLine="1440"/>
      </w:pPr>
      <w:r>
        <w:rPr/>
        <w:t xml:space="preserve">Subtotal Reappropriation</w:t>
      </w:r>
      <w:r>
        <w:tab/>
      </w:r>
      <w:r>
        <w:rPr/>
        <w:t xml:space="preserve">$301,867,000</w:t>
      </w:r>
    </w:p>
    <w:p>
      <w:pPr>
        <w:spacing w:before="120" w:after="0" w:line="408" w:lineRule="exact"/>
        <w:ind w:left="0" w:right="0" w:firstLine="576"/>
        <w:jc w:val="left"/>
        <w:tabs>
          <w:tab w:val="right" w:leader="dot" w:pos="9936"/>
        </w:tabs>
      </w:pPr>
      <w:r>
        <w:rPr/>
        <w:t xml:space="preserve">Prior Biennia (Expenditures)</w:t>
      </w:r>
      <w:r>
        <w:tab/>
      </w:r>
      <w:r>
        <w:rPr/>
        <w:t xml:space="preserve">$252,269,000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$9,128,000</w:t>
      </w:r>
    </w:p>
    <w:p>
      <w:pPr>
        <w:spacing w:before="120" w:after="0" w:line="408" w:lineRule="exact"/>
        <w:ind w:left="0" w:right="0" w:firstLine="576"/>
        <w:jc w:val="left"/>
        <w:tabs>
          <w:tab w:val="right" w:leader="dot" w:pos="9936"/>
        </w:tabs>
      </w:pPr>
      <w:r>
        <w:rPr/>
        <w:t xml:space="preserve">Prior Biennia (Expenditures)</w:t>
      </w:r>
      <w:r>
        <w:tab/>
      </w:r>
      <w:r>
        <w:rPr/>
        <w:t xml:space="preserve">$5,872,000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w:t>
      </w:r>
    </w:p>
    <w:p>
      <w:pPr>
        <w:spacing w:before="120" w:after="0" w:line="408" w:lineRule="exact"/>
        <w:ind w:left="0" w:right="0" w:firstLine="576"/>
        <w:jc w:val="left"/>
        <w:tabs>
          <w:tab w:val="right" w:leader="dot" w:pos="9936"/>
        </w:tabs>
      </w:pPr>
      <w:r>
        <w:rPr/>
        <w:t xml:space="preserve">Prior Biennia (Expenditures)</w:t>
      </w:r>
      <w:r>
        <w:tab/>
      </w:r>
      <w:r>
        <w:rPr/>
        <w:t xml:space="preserve">$3,336,000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$269,000</w:t>
      </w:r>
    </w:p>
    <w:p>
      <w:pPr>
        <w:spacing w:before="120" w:after="0" w:line="408" w:lineRule="exact"/>
        <w:ind w:left="0" w:right="0" w:firstLine="576"/>
        <w:jc w:val="left"/>
        <w:tabs>
          <w:tab w:val="right" w:leader="dot" w:pos="9936"/>
        </w:tabs>
      </w:pPr>
      <w:r>
        <w:rPr/>
        <w:t xml:space="preserve">Prior Biennia (Expenditures)</w:t>
      </w:r>
      <w:r>
        <w:tab/>
      </w:r>
      <w:r>
        <w:rPr/>
        <w:t xml:space="preserve">$9,231,000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$21,450,000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$5,295,000</w:t>
      </w:r>
    </w:p>
    <w:p>
      <w:pPr>
        <w:spacing w:before="120" w:after="0" w:line="408" w:lineRule="exact"/>
        <w:ind w:left="0" w:right="0" w:firstLine="576"/>
        <w:jc w:val="left"/>
        <w:tabs>
          <w:tab w:val="right" w:leader="dot" w:pos="9936"/>
        </w:tabs>
      </w:pPr>
      <w:r>
        <w:rPr/>
        <w:t xml:space="preserve">Prior Biennia (Expenditures)</w:t>
      </w:r>
      <w:r>
        <w:tab/>
      </w:r>
      <w:r>
        <w:rPr/>
        <w:t xml:space="preserve">$15,638,000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$5,987,000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$209,571,000</w:t>
      </w:r>
    </w:p>
    <w:p>
      <w:pPr>
        <w:spacing w:before="120" w:after="0" w:line="408" w:lineRule="exact"/>
        <w:ind w:left="0" w:right="0" w:firstLine="576"/>
        <w:jc w:val="left"/>
        <w:tabs>
          <w:tab w:val="right" w:leader="dot" w:pos="9936"/>
        </w:tabs>
      </w:pPr>
      <w:r>
        <w:rPr/>
        <w:t xml:space="preserve">Prior Biennia (Expenditures)</w:t>
      </w:r>
      <w:r>
        <w:tab/>
      </w:r>
      <w:r>
        <w:rPr/>
        <w:t xml:space="preserve">$24,929,000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$370,000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$418,000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Reappropriation</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$15,500,000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$8,300,000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$5,850,000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$4,391,000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$65,191,000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$5,825,000</w:t>
      </w:r>
    </w:p>
    <w:p>
      <w:pPr>
        <w:spacing w:before="120" w:after="0" w:line="408" w:lineRule="exact"/>
        <w:ind w:left="0" w:right="0" w:firstLine="576"/>
        <w:jc w:val="left"/>
        <w:tabs>
          <w:tab w:val="right" w:leader="dot" w:pos="9936"/>
        </w:tabs>
      </w:pPr>
      <w:r>
        <w:rPr/>
        <w:t xml:space="preserve">Prior Biennia (Expenditures)</w:t>
      </w:r>
      <w:r>
        <w:tab/>
      </w:r>
      <w:r>
        <w:rPr/>
        <w:t xml:space="preserve">$4,124,000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$29,084,000</w:t>
      </w:r>
    </w:p>
    <w:p>
      <w:pPr>
        <w:spacing w:before="120" w:after="0" w:line="408" w:lineRule="exact"/>
        <w:ind w:left="0" w:right="0" w:firstLine="576"/>
        <w:jc w:val="left"/>
        <w:tabs>
          <w:tab w:val="right" w:leader="dot" w:pos="9936"/>
        </w:tabs>
      </w:pPr>
      <w:r>
        <w:rPr/>
        <w:t xml:space="preserve">Prior Biennia (Expenditures)</w:t>
      </w:r>
      <w:r>
        <w:tab/>
      </w:r>
      <w:r>
        <w:rPr/>
        <w:t xml:space="preserve">$31,957,000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tabs>
          <w:tab w:val="right" w:leader="dot" w:pos="9936"/>
        </w:tabs>
        <w:ind w:left="0" w:right="0" w:firstLine="1440"/>
      </w:pPr>
      <w:r>
        <w:rPr/>
        <w:t xml:space="preserve">Subtotal Appropriation</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$3,078,000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$5,835,000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$3,777,000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$4,326,000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$23,900,000</w:t>
      </w:r>
    </w:p>
    <w:p>
      <w:pPr>
        <w:tabs>
          <w:tab w:val="right" w:leader="dot" w:pos="9936"/>
        </w:tabs>
        <w:ind w:left="0" w:right="0" w:firstLine="1440"/>
      </w:pPr>
      <w:r>
        <w:rPr/>
        <w:t xml:space="preserve">TOTAL</w:t>
      </w:r>
      <w:r>
        <w:tab/>
      </w:r>
      <w:r>
        <w:rPr/>
        <w:t xml:space="preserve">$27,300,000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$1,195,000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tabs>
          <w:tab w:val="right" w:leader="dot" w:pos="9936"/>
        </w:tabs>
        <w:ind w:left="0" w:right="0" w:firstLine="1440"/>
      </w:pPr>
      <w:r>
        <w:rPr/>
        <w:t xml:space="preserve">Subtotal Reappropriation</w:t>
      </w:r>
      <w:r>
        <w:tab/>
      </w:r>
      <w:r>
        <w:rPr/>
        <w:t xml:space="preserve">$3,412,000</w:t>
      </w:r>
    </w:p>
    <w:p>
      <w:pPr>
        <w:spacing w:before="120" w:after="0" w:line="408" w:lineRule="exact"/>
        <w:ind w:left="0" w:right="0" w:firstLine="576"/>
        <w:jc w:val="left"/>
        <w:tabs>
          <w:tab w:val="right" w:leader="dot" w:pos="9936"/>
        </w:tabs>
      </w:pPr>
      <w:r>
        <w:rPr/>
        <w:t xml:space="preserve">Prior Biennia (Expenditures)</w:t>
      </w:r>
      <w:r>
        <w:tab/>
      </w:r>
      <w:r>
        <w:rPr/>
        <w:t xml:space="preserve">$6,936,000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$439,000</w:t>
      </w:r>
    </w:p>
    <w:p>
      <w:pPr>
        <w:spacing w:before="120" w:after="0" w:line="408" w:lineRule="exact"/>
        <w:ind w:left="0" w:right="0" w:firstLine="576"/>
        <w:jc w:val="left"/>
        <w:tabs>
          <w:tab w:val="right" w:leader="dot" w:pos="9936"/>
        </w:tabs>
      </w:pPr>
      <w:r>
        <w:rPr/>
        <w:t xml:space="preserve">Prior Biennia (Expenditures)</w:t>
      </w:r>
      <w:r>
        <w:tab/>
      </w:r>
      <w:r>
        <w:rPr/>
        <w:t xml:space="preserve">$725,000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$17,142,000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$62,874,000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$1,825,000</w:t>
      </w:r>
    </w:p>
    <w:p>
      <w:pPr>
        <w:tabs>
          <w:tab w:val="right" w:leader="dot" w:pos="9936"/>
        </w:tabs>
        <w:ind w:left="0" w:right="0" w:firstLine="1440"/>
      </w:pPr>
      <w:r>
        <w:rPr/>
        <w:t xml:space="preserve">Subtotal Reappropriation</w:t>
      </w:r>
      <w:r>
        <w:tab/>
      </w:r>
      <w:r>
        <w:rPr/>
        <w:t xml:space="preserve">$3,025,000</w:t>
      </w:r>
    </w:p>
    <w:p>
      <w:pPr>
        <w:spacing w:before="120" w:after="0" w:line="408" w:lineRule="exact"/>
        <w:ind w:left="0" w:right="0" w:firstLine="576"/>
        <w:jc w:val="left"/>
        <w:tabs>
          <w:tab w:val="right" w:leader="dot" w:pos="9936"/>
        </w:tabs>
      </w:pPr>
      <w:r>
        <w:rPr/>
        <w:t xml:space="preserve">Prior Biennia (Expenditures)</w:t>
      </w:r>
      <w:r>
        <w:tab/>
      </w:r>
      <w:r>
        <w:rPr/>
        <w:t xml:space="preserve">$5,856,000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spacing w:before="120" w:after="0" w:line="408" w:lineRule="exact"/>
        <w:ind w:left="0" w:right="0" w:firstLine="576"/>
        <w:jc w:val="left"/>
        <w:tabs>
          <w:tab w:val="right" w:leader="dot" w:pos="9936"/>
        </w:tabs>
      </w:pPr>
      <w:r>
        <w:rPr/>
        <w:t xml:space="preserve">Prior Biennia (Expenditures)</w:t>
      </w:r>
      <w:r>
        <w:tab/>
      </w:r>
      <w:r>
        <w:rPr/>
        <w:t xml:space="preserve">$9,348,000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$3,653,000</w:t>
      </w:r>
    </w:p>
    <w:p>
      <w:pPr>
        <w:spacing w:before="120" w:after="0" w:line="408" w:lineRule="exact"/>
        <w:ind w:left="0" w:right="0" w:firstLine="576"/>
        <w:jc w:val="left"/>
        <w:tabs>
          <w:tab w:val="right" w:leader="dot" w:pos="9936"/>
        </w:tabs>
      </w:pPr>
      <w:r>
        <w:rPr/>
        <w:t xml:space="preserve">Prior Biennia (Expenditures)</w:t>
      </w:r>
      <w:r>
        <w:tab/>
      </w:r>
      <w:r>
        <w:rPr/>
        <w:t xml:space="preserve">$6,347,000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w:t>
      </w:r>
    </w:p>
    <w:p>
      <w:pPr>
        <w:spacing w:before="120" w:after="0" w:line="408" w:lineRule="exact"/>
        <w:ind w:left="0" w:right="0" w:firstLine="576"/>
        <w:jc w:val="left"/>
        <w:tabs>
          <w:tab w:val="right" w:leader="dot" w:pos="9936"/>
        </w:tabs>
      </w:pPr>
      <w:r>
        <w:rPr/>
        <w:t xml:space="preserve">Prior Biennia (Expenditures)</w:t>
      </w:r>
      <w:r>
        <w:tab/>
      </w:r>
      <w:r>
        <w:rPr/>
        <w:t xml:space="preserve">$43,887,000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$26,339,000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$15,531,000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spacing w:before="120" w:after="0" w:line="408" w:lineRule="exact"/>
        <w:ind w:left="0" w:right="0" w:firstLine="576"/>
        <w:jc w:val="left"/>
        <w:tabs>
          <w:tab w:val="right" w:leader="dot" w:pos="9936"/>
        </w:tabs>
      </w:pPr>
      <w:r>
        <w:rPr/>
        <w:t xml:space="preserve">Prior Biennia (Expenditures)</w:t>
      </w:r>
      <w:r>
        <w:tab/>
      </w:r>
      <w:r>
        <w:rPr/>
        <w:t xml:space="preserve">$36,974,000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$363,000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$1,779,000</w:t>
      </w:r>
    </w:p>
    <w:p>
      <w:pPr>
        <w:spacing w:before="120" w:after="0" w:line="408" w:lineRule="exact"/>
        <w:ind w:left="0" w:right="0" w:firstLine="576"/>
        <w:jc w:val="left"/>
        <w:tabs>
          <w:tab w:val="right" w:leader="dot" w:pos="9936"/>
        </w:tabs>
      </w:pPr>
      <w:r>
        <w:rPr/>
        <w:t xml:space="preserve">Prior Biennia (Expenditures)</w:t>
      </w:r>
      <w:r>
        <w:tab/>
      </w:r>
      <w:r>
        <w:rPr/>
        <w:t xml:space="preserve">$18,461,000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$23,174,000</w:t>
      </w:r>
    </w:p>
    <w:p>
      <w:pPr>
        <w:spacing w:before="120" w:after="0" w:line="408" w:lineRule="exact"/>
        <w:ind w:left="0" w:right="0" w:firstLine="576"/>
        <w:jc w:val="left"/>
        <w:tabs>
          <w:tab w:val="right" w:leader="dot" w:pos="9936"/>
        </w:tabs>
      </w:pPr>
      <w:r>
        <w:rPr/>
        <w:t xml:space="preserve">Prior Biennia (Expenditures)</w:t>
      </w:r>
      <w:r>
        <w:tab/>
      </w:r>
      <w:r>
        <w:rPr/>
        <w:t xml:space="preserve">$26,966,000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$2,142,000</w:t>
      </w:r>
    </w:p>
    <w:p>
      <w:pPr>
        <w:spacing w:before="120" w:after="0" w:line="408" w:lineRule="exact"/>
        <w:ind w:left="0" w:right="0" w:firstLine="576"/>
        <w:jc w:val="left"/>
        <w:tabs>
          <w:tab w:val="right" w:leader="dot" w:pos="9936"/>
        </w:tabs>
      </w:pPr>
      <w:r>
        <w:rPr/>
        <w:t xml:space="preserve">Prior Biennia (Expenditures)</w:t>
      </w:r>
      <w:r>
        <w:tab/>
      </w:r>
      <w:r>
        <w:rPr/>
        <w:t xml:space="preserve">$32,464,000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$4,012,000</w:t>
      </w:r>
    </w:p>
    <w:p>
      <w:pPr>
        <w:spacing w:before="120" w:after="0" w:line="408" w:lineRule="exact"/>
        <w:ind w:left="0" w:right="0" w:firstLine="576"/>
        <w:jc w:val="left"/>
        <w:tabs>
          <w:tab w:val="right" w:leader="dot" w:pos="9936"/>
        </w:tabs>
      </w:pPr>
      <w:r>
        <w:rPr/>
        <w:t xml:space="preserve">Prior Biennia (Expenditures)</w:t>
      </w:r>
      <w:r>
        <w:tab/>
      </w:r>
      <w:r>
        <w:rPr/>
        <w:t xml:space="preserve">$21,588,000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$17,892,000</w:t>
      </w:r>
    </w:p>
    <w:p>
      <w:pPr>
        <w:spacing w:before="120" w:after="0" w:line="408" w:lineRule="exact"/>
        <w:ind w:left="0" w:right="0" w:firstLine="576"/>
        <w:jc w:val="left"/>
        <w:tabs>
          <w:tab w:val="right" w:leader="dot" w:pos="9936"/>
        </w:tabs>
      </w:pPr>
      <w:r>
        <w:rPr/>
        <w:t xml:space="preserve">Prior Biennia (Expenditures)</w:t>
      </w:r>
      <w:r>
        <w:tab/>
      </w:r>
      <w:r>
        <w:rPr/>
        <w:t xml:space="preserve">$12,426,000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$24,744,000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w:t>
      </w:r>
    </w:p>
    <w:p>
      <w:pPr>
        <w:spacing w:before="120" w:after="0" w:line="408" w:lineRule="exact"/>
        <w:ind w:left="0" w:right="0" w:firstLine="576"/>
        <w:jc w:val="left"/>
        <w:tabs>
          <w:tab w:val="right" w:leader="dot" w:pos="9936"/>
        </w:tabs>
      </w:pPr>
      <w:r>
        <w:rPr/>
        <w:t xml:space="preserve">Prior Biennia (Expenditures)</w:t>
      </w:r>
      <w:r>
        <w:tab/>
      </w:r>
      <w:r>
        <w:rPr/>
        <w:t xml:space="preserve">$16,772,000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$4,207,000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$1,368,000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Funding authorized pursuant to section 7002(6)(g)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$663,821,000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$269,030,000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$937,410,000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$6,074,266,000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$22,295,000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$4,633,000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$85,568,000</w:t>
      </w:r>
    </w:p>
    <w:p>
      <w:pPr>
        <w:tabs>
          <w:tab w:val="right" w:leader="dot" w:pos="9936"/>
        </w:tabs>
        <w:ind w:left="0" w:right="0" w:firstLine="1440"/>
      </w:pPr>
      <w:r>
        <w:rPr/>
        <w:t xml:space="preserve">TOTAL</w:t>
      </w:r>
      <w:r>
        <w:tab/>
      </w:r>
      <w:r>
        <w:rPr/>
        <w:t xml:space="preserve">$91,568,000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Adventuress Centennial Restoration 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w:t>
      </w:r>
      <w:r>
        <w:tab/>
      </w:r>
      <w:r>
        <w:rPr/>
        <w:t xml:space="preserve">$193,000</w:t>
      </w:r>
    </w:p>
    <w:p>
      <w:pPr>
        <w:spacing w:before="0" w:after="0" w:line="408" w:lineRule="exact"/>
        <w:ind w:left="0" w:right="0" w:firstLine="0"/>
        <w:jc w:val="left"/>
        <w:tabs>
          <w:tab w:val="right" w:leader="dot" w:pos="9936"/>
        </w:tabs>
      </w:pPr>
      <w:r>
        <w:rPr/>
        <w:t xml:space="preserve">German American Bank Building Restoration</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0" w:after="0" w:line="408" w:lineRule="exact"/>
        <w:ind w:left="0" w:right="0" w:firstLine="0"/>
        <w:jc w:val="left"/>
        <w:tabs>
          <w:tab w:val="right" w:leader="dot" w:pos="9936"/>
        </w:tabs>
      </w:pPr>
      <w:r>
        <w:rPr/>
        <w:t xml:space="preserve">Fort Ward Community Hall (Heritage Bakery Building)</w:t>
      </w:r>
      <w:r>
        <w:tab/>
      </w:r>
      <w:r>
        <w:rPr/>
        <w:t xml:space="preserve">$92,000</w:t>
      </w:r>
    </w:p>
    <w:p>
      <w:pPr>
        <w:spacing w:before="0" w:after="0" w:line="408" w:lineRule="exact"/>
        <w:ind w:left="0" w:right="0" w:firstLine="0"/>
        <w:jc w:val="left"/>
        <w:tabs>
          <w:tab w:val="right" w:leader="dot" w:pos="9936"/>
        </w:tabs>
      </w:pPr>
      <w:r>
        <w:rPr/>
        <w:t xml:space="preserve">Lighthouse No. 83 (Swiftsure) Rehabilitation</w:t>
      </w:r>
      <w:r>
        <w:tab/>
      </w:r>
      <w:r>
        <w:rPr/>
        <w:t xml:space="preserve">$299,000</w:t>
      </w:r>
    </w:p>
    <w:p>
      <w:pPr>
        <w:spacing w:before="0" w:after="0" w:line="408" w:lineRule="exact"/>
        <w:ind w:left="0" w:right="0" w:firstLine="0"/>
        <w:jc w:val="left"/>
        <w:tabs>
          <w:tab w:val="right" w:leader="dot" w:pos="9936"/>
        </w:tabs>
      </w:pPr>
      <w:r>
        <w:rPr/>
        <w:t xml:space="preserve">Gladish Community and Cultural Center Restoration</w:t>
      </w:r>
      <w:r>
        <w:tab/>
      </w:r>
      <w:r>
        <w:rPr/>
        <w:t xml:space="preserve">$131,000</w:t>
      </w:r>
    </w:p>
    <w:p>
      <w:pPr>
        <w:spacing w:before="0" w:after="0" w:line="408" w:lineRule="exact"/>
        <w:ind w:left="0" w:right="0" w:firstLine="0"/>
        <w:jc w:val="left"/>
        <w:tabs>
          <w:tab w:val="right" w:leader="dot" w:pos="9936"/>
        </w:tabs>
      </w:pPr>
      <w:r>
        <w:rPr/>
        <w:t xml:space="preserve">University Heights Center Historic Preservation</w:t>
      </w:r>
      <w:r>
        <w:tab/>
      </w:r>
      <w:r>
        <w:rPr/>
        <w:t xml:space="preserve">$750,000</w:t>
      </w:r>
    </w:p>
    <w:p>
      <w:pPr>
        <w:spacing w:before="0" w:after="0" w:line="408" w:lineRule="exact"/>
        <w:ind w:left="0" w:right="0" w:firstLine="0"/>
        <w:jc w:val="left"/>
        <w:tabs>
          <w:tab w:val="right" w:leader="dot" w:pos="9936"/>
        </w:tabs>
      </w:pPr>
      <w:r>
        <w:rPr/>
        <w:t xml:space="preserve">Railroads, Waterfowl, Field Trips and Family Outings</w:t>
      </w:r>
      <w:r>
        <w:tab/>
      </w:r>
      <w:r>
        <w:rPr/>
        <w:t xml:space="preserve">$497,000</w:t>
      </w:r>
    </w:p>
    <w:p>
      <w:pPr>
        <w:spacing w:before="0" w:after="0" w:line="408" w:lineRule="exact"/>
        <w:ind w:left="0" w:right="0" w:firstLine="0"/>
        <w:jc w:val="left"/>
        <w:tabs>
          <w:tab w:val="right" w:leader="dot" w:pos="9936"/>
        </w:tabs>
      </w:pPr>
      <w:r>
        <w:rPr/>
        <w:t xml:space="preserve">Fort Worden's Historic Warehouses Rehabilitation</w:t>
      </w:r>
      <w:r>
        <w:tab/>
      </w:r>
      <w:r>
        <w:rPr/>
        <w:t xml:space="preserve">$750,000</w:t>
      </w:r>
    </w:p>
    <w:p>
      <w:pPr>
        <w:spacing w:before="0" w:after="0" w:line="408" w:lineRule="exact"/>
        <w:ind w:left="0" w:right="0" w:firstLine="0"/>
        <w:jc w:val="left"/>
        <w:tabs>
          <w:tab w:val="right" w:leader="dot" w:pos="9936"/>
        </w:tabs>
      </w:pPr>
      <w:r>
        <w:rPr/>
        <w:t xml:space="preserve">Yamasaki Courtyard Renewal Project</w:t>
      </w:r>
      <w:r>
        <w:tab/>
      </w:r>
      <w:r>
        <w:rPr/>
        <w:t xml:space="preserve">$30,000</w:t>
      </w:r>
    </w:p>
    <w:p>
      <w:pPr>
        <w:spacing w:before="0" w:after="0" w:line="408" w:lineRule="exact"/>
        <w:ind w:left="0" w:right="0" w:firstLine="0"/>
        <w:jc w:val="left"/>
        <w:tabs>
          <w:tab w:val="right" w:leader="dot" w:pos="9936"/>
        </w:tabs>
      </w:pPr>
      <w:r>
        <w:rPr/>
        <w:t xml:space="preserve">Longview Shay Pavilion Completion</w:t>
      </w:r>
      <w:r>
        <w:tab/>
      </w:r>
      <w:r>
        <w:rPr/>
        <w:t xml:space="preserve">$60,000</w:t>
      </w:r>
    </w:p>
    <w:p>
      <w:pPr>
        <w:spacing w:before="0" w:after="0" w:line="408" w:lineRule="exact"/>
        <w:ind w:left="0" w:right="0" w:firstLine="0"/>
        <w:jc w:val="left"/>
        <w:tabs>
          <w:tab w:val="right" w:leader="dot" w:pos="9936"/>
        </w:tabs>
      </w:pPr>
      <w:r>
        <w:rPr/>
        <w:t xml:space="preserve">5th Avenue Theatre Upgrade</w:t>
      </w:r>
      <w:r>
        <w:tab/>
      </w:r>
      <w:r>
        <w:rPr/>
        <w:t xml:space="preserve">$750,000</w:t>
      </w:r>
    </w:p>
    <w:p>
      <w:pPr>
        <w:spacing w:before="0" w:after="0" w:line="408" w:lineRule="exact"/>
        <w:ind w:left="0" w:right="0" w:firstLine="0"/>
        <w:jc w:val="left"/>
        <w:tabs>
          <w:tab w:val="right" w:leader="dot" w:pos="9936"/>
        </w:tabs>
      </w:pPr>
      <w:r>
        <w:rPr/>
        <w:t xml:space="preserve">Museum of Flight Roof Repair Project</w:t>
      </w:r>
      <w:r>
        <w:tab/>
      </w:r>
      <w:r>
        <w:rPr/>
        <w:t xml:space="preserve">$376,000</w:t>
      </w:r>
    </w:p>
    <w:p>
      <w:pPr>
        <w:spacing w:before="0" w:after="0" w:line="408" w:lineRule="exact"/>
        <w:ind w:left="0" w:right="0" w:firstLine="0"/>
        <w:jc w:val="left"/>
        <w:tabs>
          <w:tab w:val="right" w:leader="dot" w:pos="9936"/>
        </w:tabs>
      </w:pPr>
      <w:r>
        <w:rPr/>
        <w:t xml:space="preserve">Tumwater Old Brewhouse Tower Rehabilitation</w:t>
      </w:r>
      <w:r>
        <w:tab/>
      </w:r>
      <w:r>
        <w:rPr/>
        <w:t xml:space="preserve">$507,000</w:t>
      </w:r>
    </w:p>
    <w:p>
      <w:pPr>
        <w:spacing w:before="0" w:after="0" w:line="408" w:lineRule="exact"/>
        <w:ind w:left="0" w:right="0" w:firstLine="0"/>
        <w:jc w:val="left"/>
        <w:tabs>
          <w:tab w:val="right" w:leader="dot" w:pos="9936"/>
        </w:tabs>
      </w:pPr>
      <w:r>
        <w:rPr/>
        <w:t xml:space="preserve">Historic Purse Seiner Shenandoah Restoration.</w:t>
      </w:r>
      <w:r>
        <w:tab/>
      </w:r>
      <w:r>
        <w:rPr/>
        <w:t xml:space="preserve">$58,000</w:t>
      </w:r>
    </w:p>
    <w:p>
      <w:pPr>
        <w:spacing w:before="0" w:after="0" w:line="408" w:lineRule="exact"/>
        <w:ind w:left="0" w:right="0" w:firstLine="0"/>
        <w:jc w:val="left"/>
        <w:tabs>
          <w:tab w:val="right" w:leader="dot" w:pos="9936"/>
        </w:tabs>
      </w:pPr>
      <w:r>
        <w:rPr/>
        <w:t xml:space="preserve">The Quincy Valley Community Heritage Barn</w:t>
      </w:r>
      <w:r>
        <w:tab/>
      </w:r>
      <w:r>
        <w:rPr/>
        <w:t xml:space="preserve">$205,000</w:t>
      </w:r>
    </w:p>
    <w:p>
      <w:pPr>
        <w:spacing w:before="0" w:after="0" w:line="408" w:lineRule="exact"/>
        <w:ind w:left="0" w:right="0" w:firstLine="0"/>
        <w:jc w:val="left"/>
        <w:tabs>
          <w:tab w:val="right" w:leader="dot" w:pos="9936"/>
        </w:tabs>
      </w:pPr>
      <w:r>
        <w:rPr/>
        <w:t xml:space="preserve">Georgetown Steam Plant Historic Concrete Restoration</w:t>
      </w:r>
      <w:r>
        <w:tab/>
      </w:r>
      <w:r>
        <w:rPr/>
        <w:t xml:space="preserve">$750,000</w:t>
      </w:r>
    </w:p>
    <w:p>
      <w:pPr>
        <w:spacing w:before="0" w:after="0" w:line="408" w:lineRule="exact"/>
        <w:ind w:left="0" w:right="0" w:firstLine="0"/>
        <w:jc w:val="left"/>
      </w:pPr>
      <w:r>
        <w:rPr/>
        <w:t xml:space="preserve">Pacific Northwest Railroad Archives Bldg Energy</w:t>
      </w:r>
    </w:p>
    <w:p>
      <w:pPr>
        <w:spacing w:before="0" w:after="0" w:line="408" w:lineRule="exact"/>
        <w:ind w:left="0" w:right="0" w:firstLine="576"/>
        <w:jc w:val="left"/>
        <w:tabs>
          <w:tab w:val="right" w:leader="dot" w:pos="9936"/>
        </w:tabs>
      </w:pPr>
      <w:r>
        <w:rPr/>
        <w:t xml:space="preserve">Efficiencies &amp; Security</w:t>
      </w:r>
      <w:r>
        <w:tab/>
      </w:r>
      <w:r>
        <w:rPr/>
        <w:t xml:space="preserve">$52,000</w:t>
      </w:r>
    </w:p>
    <w:p>
      <w:pPr>
        <w:spacing w:before="0" w:after="0" w:line="408" w:lineRule="exact"/>
        <w:ind w:left="0" w:right="0" w:firstLine="0"/>
        <w:jc w:val="left"/>
        <w:tabs>
          <w:tab w:val="right" w:leader="dot" w:pos="9936"/>
        </w:tabs>
      </w:pPr>
      <w:r>
        <w:rPr/>
        <w:t xml:space="preserve">Tollgate Farmhouse Rehabilitation</w:t>
      </w:r>
      <w:r>
        <w:tab/>
      </w:r>
      <w:r>
        <w:rPr/>
        <w:t xml:space="preserve">$279,000</w:t>
      </w:r>
    </w:p>
    <w:p>
      <w:pPr>
        <w:spacing w:before="0" w:after="0" w:line="408" w:lineRule="exact"/>
        <w:ind w:left="0" w:right="0" w:firstLine="0"/>
        <w:jc w:val="left"/>
        <w:tabs>
          <w:tab w:val="right" w:leader="dot" w:pos="9936"/>
        </w:tabs>
      </w:pPr>
      <w:r>
        <w:rPr/>
        <w:t xml:space="preserve">Illuminating the Balfour Dock Building</w:t>
      </w:r>
      <w:r>
        <w:tab/>
      </w:r>
      <w:r>
        <w:rPr/>
        <w:t xml:space="preserve">$560,000</w:t>
      </w:r>
    </w:p>
    <w:p>
      <w:pPr>
        <w:spacing w:before="0" w:after="0" w:line="408" w:lineRule="exact"/>
        <w:ind w:left="0" w:right="0" w:firstLine="0"/>
        <w:jc w:val="left"/>
      </w:pPr>
      <w:r>
        <w:rPr/>
        <w:t xml:space="preserve">Port Hadlock Heritage Campus - Growing Public Access</w:t>
      </w:r>
    </w:p>
    <w:p>
      <w:pPr>
        <w:spacing w:before="0" w:after="0" w:line="408" w:lineRule="exact"/>
        <w:ind w:left="0" w:right="0" w:firstLine="576"/>
        <w:jc w:val="left"/>
        <w:tabs>
          <w:tab w:val="right" w:leader="dot" w:pos="9936"/>
        </w:tabs>
      </w:pPr>
      <w:r>
        <w:rPr/>
        <w:t xml:space="preserve">to Traditional Boatbuilding Skills &amp; Education</w:t>
      </w:r>
      <w:r>
        <w:tab/>
      </w:r>
      <w:r>
        <w:rPr/>
        <w:t xml:space="preserve">$360,000</w:t>
      </w:r>
    </w:p>
    <w:p>
      <w:pPr>
        <w:spacing w:before="0" w:after="0" w:line="408" w:lineRule="exact"/>
        <w:ind w:left="0" w:right="0" w:firstLine="0"/>
        <w:jc w:val="left"/>
        <w:tabs>
          <w:tab w:val="right" w:leader="dot" w:pos="9936"/>
        </w:tabs>
      </w:pPr>
      <w:r>
        <w:rPr/>
        <w:t xml:space="preserve">The Old Hotel Art Gallery Renovation &amp; Upgrades</w:t>
      </w:r>
      <w:r>
        <w:tab/>
      </w:r>
      <w:r>
        <w:rPr/>
        <w:t xml:space="preserve">$56,000</w:t>
      </w:r>
    </w:p>
    <w:p>
      <w:pPr>
        <w:spacing w:before="0" w:after="0" w:line="408" w:lineRule="exact"/>
        <w:ind w:left="0" w:right="0" w:firstLine="0"/>
        <w:jc w:val="left"/>
        <w:tabs>
          <w:tab w:val="right" w:leader="dot" w:pos="9936"/>
        </w:tabs>
      </w:pPr>
      <w:r>
        <w:rPr/>
        <w:t xml:space="preserve">Kirkman House Museum</w:t>
      </w:r>
      <w:r>
        <w:tab/>
      </w:r>
      <w:r>
        <w:rPr/>
        <w:t xml:space="preserve">$90,000</w:t>
      </w:r>
    </w:p>
    <w:p>
      <w:pPr>
        <w:spacing w:before="0" w:after="0" w:line="408" w:lineRule="exact"/>
        <w:ind w:left="0" w:right="0" w:firstLine="0"/>
        <w:jc w:val="left"/>
      </w:pPr>
      <w:r>
        <w:rPr/>
        <w:t xml:space="preserve">Northwest Railway Museum - Restoring the Golden Age of</w:t>
      </w:r>
    </w:p>
    <w:p>
      <w:pPr>
        <w:spacing w:before="0" w:after="0" w:line="408" w:lineRule="exact"/>
        <w:ind w:left="0" w:right="0" w:firstLine="576"/>
        <w:jc w:val="left"/>
        <w:tabs>
          <w:tab w:val="right" w:leader="dot" w:pos="9936"/>
        </w:tabs>
      </w:pPr>
      <w:r>
        <w:rPr/>
        <w:t xml:space="preserve">Rail Travel.</w:t>
      </w:r>
      <w:r>
        <w:tab/>
      </w:r>
      <w:r>
        <w:rPr/>
        <w:t xml:space="preserve">$201,000</w:t>
      </w:r>
    </w:p>
    <w:p>
      <w:pPr>
        <w:spacing w:before="0" w:after="0" w:line="408" w:lineRule="exact"/>
        <w:ind w:left="0" w:right="0" w:firstLine="0"/>
        <w:jc w:val="left"/>
        <w:tabs>
          <w:tab w:val="right" w:leader="dot" w:pos="9936"/>
        </w:tabs>
      </w:pPr>
      <w:r>
        <w:rPr/>
        <w:t xml:space="preserve">Cornish Playhouse Theater Renovation</w:t>
      </w:r>
      <w:r>
        <w:tab/>
      </w:r>
      <w:r>
        <w:rPr/>
        <w:t xml:space="preserve">$354,000</w:t>
      </w:r>
    </w:p>
    <w:p>
      <w:pPr>
        <w:spacing w:before="0" w:after="0" w:line="408" w:lineRule="exact"/>
        <w:ind w:left="0" w:right="0" w:firstLine="0"/>
        <w:jc w:val="left"/>
      </w:pPr>
      <w:r>
        <w:rPr/>
        <w:t xml:space="preserve">Mount Baker Community Club Energy and Life</w:t>
      </w:r>
    </w:p>
    <w:p>
      <w:pPr>
        <w:spacing w:before="0" w:after="0" w:line="408" w:lineRule="exact"/>
        <w:ind w:left="0" w:right="0" w:firstLine="576"/>
        <w:jc w:val="left"/>
        <w:tabs>
          <w:tab w:val="right" w:leader="dot" w:pos="9936"/>
        </w:tabs>
      </w:pPr>
      <w:r>
        <w:rPr/>
        <w:t xml:space="preserve">Safety Improvements</w:t>
      </w:r>
      <w:r>
        <w:tab/>
      </w:r>
      <w:r>
        <w:rPr/>
        <w:t xml:space="preserve">$141,000</w:t>
      </w:r>
    </w:p>
    <w:p>
      <w:pPr>
        <w:spacing w:before="0" w:after="0" w:line="408" w:lineRule="exact"/>
        <w:ind w:left="0" w:right="0" w:firstLine="0"/>
        <w:jc w:val="left"/>
        <w:tabs>
          <w:tab w:val="right" w:leader="dot" w:pos="9936"/>
        </w:tabs>
      </w:pPr>
      <w:r>
        <w:rPr/>
        <w:t xml:space="preserve">Hubble House Restoration</w:t>
      </w:r>
      <w:r>
        <w:tab/>
      </w:r>
      <w:r>
        <w:rPr/>
        <w:t xml:space="preserve">$41,000</w:t>
      </w:r>
    </w:p>
    <w:p>
      <w:pPr>
        <w:spacing w:before="0" w:after="0" w:line="408" w:lineRule="exact"/>
        <w:ind w:left="0" w:right="0" w:firstLine="0"/>
        <w:jc w:val="left"/>
      </w:pPr>
      <w:r>
        <w:rPr/>
        <w:t xml:space="preserve">Nikkei Heritage Association of Washington - Facilities</w:t>
      </w:r>
    </w:p>
    <w:p>
      <w:pPr>
        <w:spacing w:before="0" w:after="0" w:line="408" w:lineRule="exact"/>
        <w:ind w:left="0" w:right="0" w:firstLine="576"/>
        <w:jc w:val="left"/>
        <w:tabs>
          <w:tab w:val="right" w:leader="dot" w:pos="9936"/>
        </w:tabs>
      </w:pPr>
      <w:r>
        <w:rPr/>
        <w:t xml:space="preserve">Preservation and Long Term Operations Plan</w:t>
      </w:r>
      <w:r>
        <w:tab/>
      </w:r>
      <w:r>
        <w:rPr/>
        <w:t xml:space="preserve">$21,000</w:t>
      </w:r>
    </w:p>
    <w:p>
      <w:pPr>
        <w:spacing w:before="0" w:after="0" w:line="408" w:lineRule="exact"/>
        <w:ind w:left="0" w:right="0" w:firstLine="0"/>
        <w:jc w:val="left"/>
      </w:pPr>
      <w:r>
        <w:rPr/>
        <w:t xml:space="preserve">Princess Theater and the Green Room at the Princess</w:t>
      </w:r>
    </w:p>
    <w:p>
      <w:pPr>
        <w:spacing w:before="0" w:after="0" w:line="408" w:lineRule="exact"/>
        <w:ind w:left="0" w:right="0" w:firstLine="576"/>
        <w:jc w:val="left"/>
        <w:tabs>
          <w:tab w:val="right" w:leader="dot" w:pos="9936"/>
        </w:tabs>
      </w:pPr>
      <w:r>
        <w:rPr/>
        <w:t xml:space="preserve">Rehabilitation</w:t>
      </w:r>
      <w:r>
        <w:tab/>
      </w:r>
      <w:r>
        <w:rPr/>
        <w:t xml:space="preserve">$114,000</w:t>
      </w:r>
    </w:p>
    <w:p>
      <w:pPr>
        <w:spacing w:before="0" w:after="0" w:line="408" w:lineRule="exact"/>
        <w:ind w:left="0" w:right="0" w:firstLine="0"/>
        <w:jc w:val="left"/>
        <w:tabs>
          <w:tab w:val="right" w:leader="dot" w:pos="9936"/>
        </w:tabs>
      </w:pPr>
      <w:r>
        <w:rPr/>
        <w:t xml:space="preserve">M.V. Lotus Deck Replacement</w:t>
      </w:r>
      <w:r>
        <w:tab/>
      </w:r>
      <w:r>
        <w:rPr/>
        <w:t xml:space="preserve">$29,000</w:t>
      </w:r>
    </w:p>
    <w:p>
      <w:pPr>
        <w:spacing w:before="0" w:after="0" w:line="408" w:lineRule="exact"/>
        <w:ind w:left="0" w:right="0" w:firstLine="0"/>
        <w:jc w:val="left"/>
        <w:tabs>
          <w:tab w:val="right" w:leader="dot" w:pos="9936"/>
        </w:tabs>
      </w:pPr>
      <w:r>
        <w:rPr/>
        <w:t xml:space="preserve">Woodland Theatre Repair and Restoration</w:t>
      </w:r>
      <w:r>
        <w:tab/>
      </w:r>
      <w:r>
        <w:rPr/>
        <w:t xml:space="preserve">$44,000</w:t>
      </w:r>
    </w:p>
    <w:p>
      <w:pPr>
        <w:spacing w:before="0" w:after="0" w:line="408" w:lineRule="exact"/>
        <w:ind w:left="0" w:right="0" w:firstLine="0"/>
        <w:jc w:val="left"/>
        <w:tabs>
          <w:tab w:val="right" w:leader="dot" w:pos="9936"/>
        </w:tabs>
      </w:pPr>
      <w:r>
        <w:rPr/>
        <w:t xml:space="preserve">Pacific County Historical Society - Annex Storage Building</w:t>
      </w:r>
      <w:r>
        <w:tab/>
      </w:r>
      <w:r>
        <w:rPr/>
        <w:t xml:space="preserve">$32,000</w:t>
      </w:r>
    </w:p>
    <w:p>
      <w:pPr>
        <w:spacing w:before="0" w:after="0" w:line="408" w:lineRule="exact"/>
        <w:ind w:left="0" w:right="0" w:firstLine="0"/>
        <w:jc w:val="left"/>
        <w:tabs>
          <w:tab w:val="right" w:leader="dot" w:pos="9936"/>
        </w:tabs>
      </w:pPr>
      <w:r>
        <w:rPr/>
        <w:t xml:space="preserve">Historic Schooner Suva Preservation</w:t>
      </w:r>
      <w:r>
        <w:tab/>
      </w:r>
      <w:r>
        <w:rPr/>
        <w:t xml:space="preserve">$34,000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College Student Housing (92000028)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college to implement the initial steps for student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$13,650,000</w:t>
      </w:r>
      <w:r>
        <w:rPr/>
        <w:t xml:space="preserve"> of the state taxable building construction account is provided solely to create a revolving loan fund to support the widespread use of proven energy efficiency and renewable energy</w:t>
      </w:r>
      <w:r>
        <w:rPr>
          <w:u w:val="single"/>
        </w:rPr>
        <w:t xml:space="preserve">, and transportation electrification</w:t>
      </w:r>
      <w:r>
        <w:rPr/>
        <w:t xml:space="preserve">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w:t>
      </w:r>
      <w:r>
        <w:t>((</w:t>
      </w:r>
      <w:r>
        <w:rPr>
          <w:strike/>
        </w:rPr>
        <w:t xml:space="preserve">,</w:t>
      </w:r>
      <w:r>
        <w:t>))</w:t>
      </w:r>
      <w:r>
        <w:rPr>
          <w:u w:val="single"/>
        </w:rPr>
        <w:t xml:space="preserve">;</w:t>
      </w:r>
      <w:r>
        <w:rPr/>
        <w:t xml:space="preserve"> residential and community-scale solar installations</w:t>
      </w:r>
      <w:r>
        <w:t>((</w:t>
      </w:r>
      <w:r>
        <w:rPr>
          <w:strike/>
        </w:rPr>
        <w:t xml:space="preserve">,</w:t>
      </w:r>
      <w:r>
        <w:t>))</w:t>
      </w:r>
      <w:r>
        <w:rPr>
          <w:u w:val="single"/>
        </w:rPr>
        <w:t xml:space="preserve">;</w:t>
      </w:r>
      <w:r>
        <w:rPr/>
        <w:t xml:space="preserve"> anaerobic digesters to treat dairy and organic waste</w:t>
      </w:r>
      <w:r>
        <w:t>((</w:t>
      </w:r>
      <w:r>
        <w:rPr>
          <w:strike/>
        </w:rPr>
        <w:t xml:space="preserve">, and</w:t>
      </w:r>
      <w:r>
        <w:t>))</w:t>
      </w:r>
      <w:r>
        <w:rPr>
          <w:u w:val="single"/>
        </w:rPr>
        <w:t xml:space="preserve">;</w:t>
      </w:r>
      <w:r>
        <w:rPr/>
        <w:t xml:space="preserve"> combined heat and power projects using woody biomass as a fuel source</w:t>
      </w:r>
      <w:r>
        <w:rPr>
          <w:u w:val="single"/>
        </w:rPr>
        <w:t xml:space="preserve">; electric vehicle charging infrastructure and equipment for cars, trucks, and buses; upgrades to facilitate such equipment and infrastructure; and acquisition of zero-emission buses and class 4-8 vehicles, including but not limited to trucks and passenger shuttles</w:t>
      </w:r>
      <w:r>
        <w:rPr/>
        <w:t xml:space="preserv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pPr>
      <w:r>
        <w:rPr>
          <w:u w:val="single"/>
        </w:rPr>
        <w:t xml:space="preserve">(13) $3,250,000 of the state building construction account</w:t>
      </w:r>
      <w:r>
        <w:rPr>
          <w:rFonts w:ascii="Times New Roman" w:hAnsi="Times New Roman"/>
          <w:u w:val="single"/>
        </w:rPr>
        <w:t xml:space="preserve">—</w:t>
      </w:r>
      <w:r>
        <w:rPr>
          <w:u w:val="single"/>
        </w:rPr>
        <w:t xml:space="preserve">state appropriation is provided solely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$13,750,000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$23,400,000</w:t>
      </w:r>
      <w:r>
        <w:t>))</w:t>
      </w:r>
    </w:p>
    <w:p>
      <w:pPr>
        <w:spacing w:before="0" w:after="0" w:line="408" w:lineRule="exact"/>
        <w:ind w:left="0" w:right="0" w:firstLine="0"/>
        <w:jc w:val="left"/>
        <w:tabs>
          <w:tab w:val="right" w:leader="none" w:pos="9936"/>
        </w:tabs>
      </w:pPr>
      <w:r>
        <w:tab/>
      </w:r>
      <w:r>
        <w:rPr>
          <w:u w:val="single"/>
        </w:rPr>
        <w:t xml:space="preserve">$26,650,000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1008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w:t>
      </w:r>
      <w:r>
        <w:rPr>
          <w:u w:val="single"/>
        </w:rPr>
        <w:t xml:space="preserve">$500,000 of the appropriation in this section is provided solely to the 242 home development corporation to develop mental health housing, first and broad, Seattle.</w:t>
      </w:r>
    </w:p>
    <w:p>
      <w:pPr>
        <w:spacing w:before="0" w:after="0" w:line="408" w:lineRule="exact"/>
        <w:ind w:left="0" w:right="0" w:firstLine="576"/>
        <w:jc w:val="left"/>
      </w:pPr>
      <w:r>
        <w:rPr>
          <w:u w:val="single"/>
        </w:rPr>
        <w:t xml:space="preserve">(9)</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w:t>
            </w:r>
            <w:r>
              <w:t>((</w:t>
            </w:r>
            <w:r>
              <w:rPr>
                <w:rFonts w:ascii="Times New Roman" w:hAnsi="Times New Roman"/>
                <w:strike/>
                <w:sz w:val="20"/>
              </w:rPr>
              <w:t xml:space="preserve">Denny</w:t>
            </w:r>
            <w:r>
              <w:t>))</w:t>
            </w:r>
            <w:r>
              <w:rPr>
                <w:rFonts w:ascii="Times New Roman" w:hAnsi="Times New Roman"/>
                <w:sz w:val="20"/>
              </w:rPr>
              <w:t xml:space="preserve"> </w:t>
            </w:r>
            <w:r>
              <w:rPr>
                <w:rFonts w:ascii="Times New Roman" w:hAnsi="Times New Roman"/>
                <w:sz w:val="20"/>
                <w:u w:val="single"/>
              </w:rPr>
              <w:t xml:space="preserve">Broad</w:t>
            </w:r>
            <w:r>
              <w:rPr>
                <w:rFonts w:ascii="Times New Roman" w:hAnsi="Times New Roman"/>
                <w:sz w:val="20"/>
              </w:rPr>
              <w:t xml:space="preserve">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6005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Carbonado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t>((</w:t>
            </w:r>
            <w:r>
              <w:rPr>
                <w:rFonts w:ascii="Times New Roman" w:hAnsi="Times New Roman"/>
                <w:strike/>
                <w:sz w:val="20"/>
              </w:rPr>
              <w:t xml:space="preserve">City of Shelton Wastewater</w:t>
            </w:r>
            <w:r>
              <w:t>))</w:t>
            </w:r>
            <w:r>
              <w:rPr>
                <w:rFonts w:ascii="Times New Roman" w:hAnsi="Times New Roman"/>
                <w:sz w:val="20"/>
              </w:rPr>
              <w:t xml:space="preserve"> </w:t>
            </w:r>
            <w:r>
              <w:rPr>
                <w:rFonts w:ascii="Times New Roman" w:hAnsi="Times New Roman"/>
                <w:sz w:val="20"/>
                <w:u w:val="single"/>
              </w:rPr>
              <w:t xml:space="preserve">Basin 3 Sewer Rehabilitation</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$37,109,000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1015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department of veterans affairs, the parks and recreation commission, and the department of fish and wildlife. Eligible construction projects are only projects that had cost reductions as kept on file with the office of financial management</w:t>
      </w:r>
      <w:r>
        <w:rPr>
          <w:u w:val="single"/>
        </w:rPr>
        <w:t xml:space="preserve">, and the carver academic renovation project funded in section 5084, chapter 3, Laws of 2015 3rd sp.s</w:t>
      </w:r>
      <w:r>
        <w:rPr/>
        <w:t xml:space="preserve">.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1016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$6,662,000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$7,000,000</w:t>
      </w:r>
    </w:p>
    <w:p>
      <w:pPr>
        <w:spacing w:before="0" w:after="0" w:line="408" w:lineRule="exact"/>
        <w:ind w:left="0" w:right="0" w:firstLine="0"/>
        <w:jc w:val="left"/>
        <w:tabs>
          <w:tab w:val="right" w:leader="none" w:pos="9936"/>
        </w:tabs>
      </w:pPr>
      <w:r>
        <w:tab/>
      </w:r>
      <w:r>
        <w:rPr>
          <w:u w:val="single"/>
        </w:rPr>
        <w:t xml:space="preserve">$6,662,000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(30001170)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3118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$11,117,000</w:t>
      </w:r>
      <w:r>
        <w:t>))</w:t>
      </w:r>
    </w:p>
    <w:p>
      <w:pPr>
        <w:spacing w:before="0" w:after="0" w:line="408" w:lineRule="exact"/>
        <w:ind w:left="0" w:right="0" w:firstLine="0"/>
        <w:jc w:val="left"/>
        <w:tabs>
          <w:tab w:val="right" w:leader="none" w:pos="9936"/>
        </w:tabs>
      </w:pPr>
      <w:r>
        <w:tab/>
      </w:r>
      <w:r>
        <w:rPr>
          <w:u w:val="single"/>
        </w:rPr>
        <w:t xml:space="preserve">$10,484,000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$11,367,000</w:t>
      </w:r>
    </w:p>
    <w:p>
      <w:pPr>
        <w:spacing w:before="0" w:after="0" w:line="408" w:lineRule="exact"/>
        <w:ind w:left="0" w:right="0" w:firstLine="0"/>
        <w:jc w:val="left"/>
        <w:tabs>
          <w:tab w:val="right" w:leader="none" w:pos="9936"/>
        </w:tabs>
      </w:pPr>
      <w:r>
        <w:tab/>
      </w:r>
      <w:r>
        <w:rPr>
          <w:u w:val="single"/>
        </w:rPr>
        <w:t xml:space="preserve">$10,484,000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$5,160,000</w:t>
      </w:r>
      <w:r>
        <w:t>))</w:t>
      </w:r>
    </w:p>
    <w:p>
      <w:pPr>
        <w:spacing w:before="0" w:after="0" w:line="408" w:lineRule="exact"/>
        <w:ind w:left="0" w:right="0" w:firstLine="0"/>
        <w:jc w:val="left"/>
        <w:tabs>
          <w:tab w:val="right" w:leader="none" w:pos="9936"/>
        </w:tabs>
      </w:pPr>
      <w:r>
        <w:tab/>
      </w:r>
      <w:r>
        <w:rPr>
          <w:u w:val="single"/>
        </w:rPr>
        <w:t xml:space="preserve">$4,590,000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$5,160,000</w:t>
      </w:r>
    </w:p>
    <w:p>
      <w:pPr>
        <w:spacing w:before="0" w:after="0" w:line="408" w:lineRule="exact"/>
        <w:ind w:left="0" w:right="0" w:firstLine="0"/>
        <w:jc w:val="left"/>
        <w:tabs>
          <w:tab w:val="right" w:leader="none" w:pos="9936"/>
        </w:tabs>
      </w:pPr>
      <w:r>
        <w:tab/>
      </w:r>
      <w:r>
        <w:rPr>
          <w:u w:val="single"/>
        </w:rPr>
        <w:t xml:space="preserve">$4,590,000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$11,722,000</w:t>
      </w:r>
      <w:r>
        <w:t>))</w:t>
      </w:r>
    </w:p>
    <w:p>
      <w:pPr>
        <w:spacing w:before="0" w:after="0" w:line="408" w:lineRule="exact"/>
        <w:ind w:left="0" w:right="0" w:firstLine="0"/>
        <w:jc w:val="left"/>
        <w:tabs>
          <w:tab w:val="right" w:leader="none" w:pos="9936"/>
        </w:tabs>
      </w:pPr>
      <w:r>
        <w:tab/>
      </w:r>
      <w:r>
        <w:rPr>
          <w:u w:val="single"/>
        </w:rPr>
        <w:t xml:space="preserve">$13,222,000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$13,315,000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$8,948,000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$9,053,000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t>((</w:t>
      </w:r>
      <w:r>
        <w:rPr>
          <w:strike/>
        </w:rPr>
        <w:t xml:space="preserve">Nasselle</w:t>
      </w:r>
      <w:r>
        <w:t>))</w:t>
      </w:r>
      <w:r>
        <w:rPr/>
        <w:t xml:space="preserve"> </w:t>
      </w:r>
      <w:r>
        <w:rPr>
          <w:u w:val="single"/>
        </w:rPr>
        <w:t xml:space="preserve">Naselle</w:t>
      </w:r>
      <w:r>
        <w:rPr/>
        <w:t xml:space="preserv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$13,556,000</w:t>
      </w:r>
      <w:r>
        <w:t>))</w:t>
      </w:r>
    </w:p>
    <w:p>
      <w:pPr>
        <w:spacing w:before="0" w:after="0" w:line="408" w:lineRule="exact"/>
        <w:ind w:left="0" w:right="0" w:firstLine="0"/>
        <w:jc w:val="left"/>
        <w:tabs>
          <w:tab w:val="right" w:leader="none" w:pos="9936"/>
        </w:tabs>
      </w:pPr>
      <w:r>
        <w:tab/>
      </w:r>
      <w:r>
        <w:rPr>
          <w:u w:val="single"/>
        </w:rPr>
        <w:t xml:space="preserve">$17,056,000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$17,188,000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3204</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$9,103,000</w:t>
      </w:r>
      <w:r>
        <w:t>))</w:t>
      </w:r>
    </w:p>
    <w:p>
      <w:pPr>
        <w:spacing w:before="0" w:after="0" w:line="408" w:lineRule="exact"/>
        <w:ind w:left="0" w:right="0" w:firstLine="0"/>
        <w:jc w:val="left"/>
        <w:tabs>
          <w:tab w:val="right" w:leader="none" w:pos="9936"/>
        </w:tabs>
      </w:pPr>
      <w:r>
        <w:tab/>
      </w:r>
      <w:r>
        <w:rPr>
          <w:u w:val="single"/>
        </w:rPr>
        <w:t xml:space="preserve">$14,103,000</w:t>
      </w:r>
    </w:p>
    <w:p>
      <w:pPr>
        <w:tabs>
          <w:tab w:val="right" w:leader="dot" w:pos="9936"/>
        </w:tabs>
        <w:ind w:left="0" w:right="0" w:firstLine="1440"/>
      </w:pPr>
      <w:r>
        <w:rPr/>
        <w:t xml:space="preserve">TOTAL</w:t>
      </w:r>
      <w:r>
        <w:tab/>
      </w:r>
      <w:r>
        <w:rPr>
          <w:strike/>
        </w:rPr>
        <w:t xml:space="preserve">$24,103,000</w:t>
      </w:r>
    </w:p>
    <w:p>
      <w:pPr>
        <w:tabs>
          <w:tab w:val="right" w:leader="none" w:pos="9936"/>
        </w:tabs>
        <w:ind w:left="0" w:right="0" w:firstLine="1440"/>
      </w:pPr>
      <w:r>
        <w:tab/>
      </w:r>
      <w:r>
        <w:rPr>
          <w:u w:val="single"/>
        </w:rPr>
        <w:t xml:space="preserve">$24,036,000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3197</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3188</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Conservation Commission Ranch and Farmland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t>((</w:t>
      </w:r>
      <w:r>
        <w:rPr>
          <w:strike/>
        </w:rPr>
        <w:t xml:space="preserve">$1,619,000</w:t>
      </w:r>
      <w:r>
        <w:t>))</w:t>
      </w:r>
    </w:p>
    <w:p>
      <w:pPr>
        <w:spacing w:before="0" w:after="0" w:line="408" w:lineRule="exact"/>
        <w:ind w:left="0" w:right="0" w:firstLine="0"/>
        <w:jc w:val="right"/>
      </w:pPr>
      <w:r>
        <w:rPr>
          <w:u w:val="single"/>
        </w:rPr>
        <w:t xml:space="preserve">$2,210,000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t>((</w:t>
      </w:r>
      <w:r>
        <w:rPr>
          <w:strike/>
        </w:rPr>
        <w:t xml:space="preserve">$2,316,000</w:t>
      </w:r>
      <w:r>
        <w:t>))</w:t>
      </w:r>
    </w:p>
    <w:p>
      <w:pPr>
        <w:spacing w:before="0" w:after="0" w:line="408" w:lineRule="exact"/>
        <w:ind w:left="0" w:right="0" w:firstLine="0"/>
        <w:jc w:val="right"/>
      </w:pPr>
      <w:r>
        <w:rPr>
          <w:u w:val="single"/>
        </w:rPr>
        <w:t xml:space="preserve">$55,000</w:t>
      </w:r>
    </w:p>
    <w:p>
      <w:pPr>
        <w:spacing w:before="0" w:after="0" w:line="408" w:lineRule="exact"/>
        <w:ind w:left="0" w:right="0" w:firstLine="0"/>
        <w:jc w:val="left"/>
        <w:tabs>
          <w:tab w:val="right" w:leader="dot" w:pos="9936"/>
        </w:tabs>
      </w:pPr>
      <w:r>
        <w:rPr/>
        <w:t xml:space="preserve">Dungeness watershed farmland protection phase 3</w:t>
      </w:r>
      <w:r>
        <w:tab/>
      </w:r>
      <w:r>
        <w:rPr/>
        <w:t xml:space="preserve">$344,000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$9,192,000</w:t>
      </w:r>
      <w:r>
        <w:t>))</w:t>
      </w:r>
    </w:p>
    <w:p>
      <w:pPr>
        <w:spacing w:before="0" w:after="0" w:line="408" w:lineRule="exact"/>
        <w:ind w:left="0" w:right="0" w:firstLine="0"/>
        <w:jc w:val="left"/>
        <w:tabs>
          <w:tab w:val="right" w:leader="none" w:pos="9936"/>
        </w:tabs>
      </w:pPr>
      <w:r>
        <w:tab/>
      </w:r>
      <w:r>
        <w:rPr>
          <w:u w:val="single"/>
        </w:rPr>
        <w:t xml:space="preserve">$7,522,000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$9,192,000</w:t>
      </w:r>
    </w:p>
    <w:p>
      <w:pPr>
        <w:tabs>
          <w:tab w:val="right" w:leader="none" w:pos="9936"/>
        </w:tabs>
        <w:ind w:left="0" w:right="0" w:firstLine="1440"/>
      </w:pPr>
      <w:r>
        <w:tab/>
      </w:r>
      <w:r>
        <w:rPr>
          <w:u w:val="single"/>
        </w:rPr>
        <w:t xml:space="preserve">$7,522,000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3187</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w:t>
      </w:r>
      <w:r>
        <w:t>((</w:t>
      </w:r>
      <w:r>
        <w:rPr>
          <w:strike/>
        </w:rPr>
        <w:t xml:space="preserve">low interest loans for two or more</w:t>
      </w:r>
      <w:r>
        <w:t>))</w:t>
      </w:r>
      <w:r>
        <w:rPr/>
        <w:t xml:space="preserve"> </w:t>
      </w:r>
      <w:r>
        <w:rPr>
          <w:u w:val="single"/>
        </w:rPr>
        <w:t xml:space="preserve">nonshellfish projects assisting landowners to address impacts to water quality, air quality, and water resources, and other impacts to natural resources. Of this amount, $2,000,000 is provided solely for grants for</w:t>
      </w:r>
      <w:r>
        <w:rPr/>
        <w:t xml:space="preserve"> dairy nutrient management </w:t>
      </w:r>
      <w:r>
        <w:t>((</w:t>
      </w:r>
      <w:r>
        <w:rPr>
          <w:strike/>
        </w:rPr>
        <w:t xml:space="preserve">demonstration</w:t>
      </w:r>
      <w:r>
        <w:t>))</w:t>
      </w:r>
      <w:r>
        <w:rPr/>
        <w:t xml:space="preserve"> projects, with at least one located west of the cascades and one east of the cascades.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u w:val="single"/>
        </w:rPr>
        <w:t xml:space="preserve">Subtotal Appropriation</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3026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recreation and conservation office may retain up to four percent of these appropriations to administer the grants.</w:t>
      </w:r>
    </w:p>
    <w:p>
      <w:pPr>
        <w:spacing w:before="0" w:after="0" w:line="408" w:lineRule="exact"/>
        <w:ind w:left="0" w:right="0" w:firstLine="576"/>
        <w:jc w:val="left"/>
      </w:pPr>
      <w:r>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0" w:after="0" w:line="408" w:lineRule="exact"/>
        <w:ind w:left="0" w:right="0" w:firstLine="576"/>
        <w:jc w:val="left"/>
      </w:pPr>
      <w:r>
        <w:rPr/>
        <w:t xml:space="preserve">(3) Matching resources are not required for the Concrete water spray park project.</w:t>
      </w:r>
    </w:p>
    <w:p>
      <w:pPr>
        <w:spacing w:before="0" w:after="0" w:line="408" w:lineRule="exact"/>
        <w:ind w:left="0" w:right="0" w:firstLine="576"/>
        <w:jc w:val="left"/>
      </w:pPr>
      <w:r>
        <w:rPr>
          <w:u w:val="single"/>
        </w:rPr>
        <w:t xml:space="preserve">(4) A maximum of $1,100,000 of unused funds in this appropriation may be used for the willows road regional trail connection, without requiring matching resources.</w:t>
      </w:r>
    </w:p>
    <w:p>
      <w:pPr>
        <w:spacing w:before="0" w:after="0" w:line="408" w:lineRule="exact"/>
        <w:ind w:left="0" w:right="0" w:firstLine="576"/>
        <w:jc w:val="left"/>
      </w:pPr>
      <w:r>
        <w:rPr>
          <w:u w:val="single"/>
        </w:rPr>
        <w:t xml:space="preserve">(5) A maximum of $500,000 of unused funds in this appropriation may be used for the wilburton trestle section of the eastside rail corridor, without requiring matching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5004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and total eligible area of all STEM pilot projects from this section must not exceed 36,880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$305,721,000</w:t>
      </w:r>
      <w:r>
        <w:t>))</w:t>
      </w:r>
    </w:p>
    <w:p>
      <w:pPr>
        <w:spacing w:before="0" w:after="0" w:line="408" w:lineRule="exact"/>
        <w:ind w:left="0" w:right="0" w:firstLine="0"/>
        <w:jc w:val="left"/>
        <w:tabs>
          <w:tab w:val="right" w:leader="none" w:pos="9936"/>
        </w:tabs>
      </w:pPr>
      <w:r>
        <w:tab/>
      </w:r>
      <w:r>
        <w:rPr>
          <w:u w:val="single"/>
        </w:rPr>
        <w:t xml:space="preserve">$317,713,000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$337,135,000</w:t>
      </w:r>
      <w:r>
        <w:t>))</w:t>
      </w:r>
    </w:p>
    <w:p>
      <w:pPr>
        <w:spacing w:before="0" w:after="0" w:line="408" w:lineRule="exact"/>
        <w:ind w:left="0" w:right="0" w:firstLine="0"/>
        <w:jc w:val="left"/>
        <w:tabs>
          <w:tab w:val="right" w:leader="none" w:pos="9936"/>
        </w:tabs>
      </w:pPr>
      <w:r>
        <w:tab/>
      </w:r>
      <w:r>
        <w:rPr>
          <w:u w:val="single"/>
        </w:rPr>
        <w:t xml:space="preserve">$232,673,000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$3,750,000</w:t>
      </w:r>
    </w:p>
    <w:p>
      <w:pPr>
        <w:tabs>
          <w:tab w:val="right" w:leader="dot" w:pos="9936"/>
        </w:tabs>
        <w:ind w:left="0" w:right="0" w:firstLine="1440"/>
      </w:pPr>
      <w:r>
        <w:rPr/>
        <w:t xml:space="preserve">Subtotal Appropriation</w:t>
      </w:r>
      <w:r>
        <w:tab/>
      </w:r>
      <w:r>
        <w:t>((</w:t>
      </w:r>
      <w:r>
        <w:rPr>
          <w:strike/>
        </w:rPr>
        <w:t xml:space="preserve">$645,856,000</w:t>
      </w:r>
      <w:r>
        <w:t>))</w:t>
      </w:r>
    </w:p>
    <w:p>
      <w:pPr>
        <w:tabs>
          <w:tab w:val="right" w:leader="none" w:pos="9936"/>
        </w:tabs>
        <w:ind w:left="0" w:right="0" w:firstLine="1440"/>
      </w:pPr>
      <w:r>
        <w:tab/>
      </w:r>
      <w:r>
        <w:rPr>
          <w:u w:val="single"/>
        </w:rPr>
        <w:t xml:space="preserve">$554,136,000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$4,284,006,000</w:t>
      </w:r>
    </w:p>
    <w:p>
      <w:pPr>
        <w:tabs>
          <w:tab w:val="right" w:leader="none" w:pos="9936"/>
        </w:tabs>
        <w:ind w:left="0" w:right="0" w:firstLine="1440"/>
      </w:pPr>
      <w:r>
        <w:tab/>
      </w:r>
      <w:r>
        <w:rPr>
          <w:u w:val="single"/>
        </w:rPr>
        <w:t xml:space="preserve">$4,192,286,000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6015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$23,000,000</w:t>
      </w:r>
      <w:r>
        <w:t>))</w:t>
      </w:r>
      <w:r>
        <w:rPr/>
        <w:t xml:space="preserve"> </w:t>
      </w:r>
      <w:r>
        <w:rPr>
          <w:u w:val="single"/>
        </w:rPr>
        <w:t xml:space="preserve">$13,000,000</w:t>
      </w:r>
      <w:r>
        <w:rPr/>
        <w:t xml:space="preserve"> that must be considered an </w:t>
      </w:r>
      <w:r>
        <w:t>((</w:t>
      </w:r>
      <w:r>
        <w:rPr>
          <w:strike/>
        </w:rPr>
        <w:t xml:space="preserve">inter fund</w:t>
      </w:r>
      <w:r>
        <w:t>))</w:t>
      </w:r>
      <w:r>
        <w:rPr/>
        <w:t xml:space="preserve"> </w:t>
      </w:r>
      <w:r>
        <w:rPr>
          <w:u w:val="single"/>
        </w:rPr>
        <w:t xml:space="preserve">interfund</w:t>
      </w:r>
      <w:r>
        <w:rPr/>
        <w:t xml:space="preserve"> loan that must be repaid with interest to the cleanup settlement account in three equal repayments in fiscal years 2019, 2020, and 2021.</w:t>
      </w:r>
    </w:p>
    <w:p>
      <w:pPr>
        <w:spacing w:before="0" w:after="0" w:line="408" w:lineRule="exact"/>
        <w:ind w:left="0" w:right="0" w:firstLine="576"/>
        <w:jc w:val="left"/>
      </w:pPr>
      <w:r>
        <w:rPr/>
        <w:t xml:space="preserve">(3) If, after using the </w:t>
      </w:r>
      <w:r>
        <w:t>((</w:t>
      </w:r>
      <w:r>
        <w:rPr>
          <w:strike/>
        </w:rPr>
        <w:t xml:space="preserve">inter-fund</w:t>
      </w:r>
      <w:r>
        <w:t>))</w:t>
      </w:r>
      <w:r>
        <w:rPr/>
        <w:t xml:space="preserve"> </w:t>
      </w:r>
      <w:r>
        <w:rPr>
          <w:u w:val="single"/>
        </w:rPr>
        <w:t xml:space="preserve">interfund</w:t>
      </w:r>
      <w:r>
        <w:rPr/>
        <w:t xml:space="preserve">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w:t>
      </w:r>
    </w:p>
    <w:p>
      <w:pPr>
        <w:spacing w:before="0" w:after="0" w:line="408" w:lineRule="exact"/>
        <w:ind w:left="0" w:right="0" w:firstLine="576"/>
        <w:jc w:val="left"/>
      </w:pPr>
      <w:r>
        <w:rPr/>
        <w:t xml:space="preserve">(4) By June 30, 2017, the department must submit a list of projects that were delayed to the office of financial management and the appropriate fiscal committees of the legislature.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 two million four hundred eighty-six thousand dollars for the 2017-2019 biennium, two hundred sixty-eight million six thousand dollars for the 2019-2021 biennium, and three hundred seventy-four million seven hundred eight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2017 (Substitute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$17,625,000 for</w:t>
      </w:r>
    </w:p>
    <w:p>
      <w:pPr>
        <w:spacing w:before="0" w:after="0" w:line="408" w:lineRule="exact"/>
        <w:ind w:left="0" w:right="0" w:firstLine="0"/>
        <w:jc w:val="left"/>
        <w:tabs>
          <w:tab w:val="right" w:leader="dot" w:pos="9936"/>
        </w:tabs>
      </w:pPr>
      <w:r>
        <w:rPr/>
        <w:t xml:space="preserve">fiscal year 2018 and $17,625,000 for fiscal year 2019</w:t>
      </w:r>
      <w:r>
        <w:tab/>
      </w:r>
      <w:r>
        <w:rPr/>
        <w:t xml:space="preserve">$35,250,000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$10,500,000 in</w:t>
      </w:r>
    </w:p>
    <w:p>
      <w:pPr>
        <w:spacing w:before="0" w:after="0" w:line="408" w:lineRule="exact"/>
        <w:ind w:left="0" w:right="0" w:firstLine="0"/>
        <w:jc w:val="left"/>
        <w:tabs>
          <w:tab w:val="right" w:leader="dot" w:pos="9936"/>
        </w:tabs>
      </w:pPr>
      <w:r>
        <w:rPr/>
        <w:t xml:space="preserve">fiscal year 2018 and $10,500,000 in fiscal year 2019</w:t>
      </w:r>
      <w:r>
        <w:tab/>
      </w:r>
      <w:r>
        <w:rPr/>
        <w:t xml:space="preserve">$21,000,000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stormwater and clean-up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projecting costs to complete the Columbia basin project is established, with members as provided in this subsection.</w:t>
      </w:r>
    </w:p>
    <w:p>
      <w:pPr>
        <w:spacing w:before="0" w:after="0" w:line="408" w:lineRule="exact"/>
        <w:ind w:left="0" w:right="0" w:firstLine="576"/>
        <w:jc w:val="left"/>
      </w:pPr>
      <w:r>
        <w:rPr/>
        <w:t xml:space="preserve">(i) The president of the senate shall appoint two members from the senate, one from each of the two largest caucuses of the senate.</w:t>
      </w:r>
    </w:p>
    <w:p>
      <w:pPr>
        <w:spacing w:before="0" w:after="0" w:line="408" w:lineRule="exact"/>
        <w:ind w:left="0" w:right="0" w:firstLine="576"/>
        <w:jc w:val="left"/>
      </w:pPr>
      <w:r>
        <w:rPr/>
        <w:t xml:space="preserve">(ii) The speaker of the house of representatives shall appoint two members from the house of representatives, one from each of the two largest caucuses of the house of representatives.</w:t>
      </w:r>
    </w:p>
    <w:p>
      <w:pPr>
        <w:spacing w:before="0" w:after="0" w:line="408" w:lineRule="exact"/>
        <w:ind w:left="0" w:right="0" w:firstLine="576"/>
        <w:jc w:val="left"/>
      </w:pPr>
      <w:r>
        <w:rPr/>
        <w:t xml:space="preserve">(iii) The governor shall appoint one member representing the governor.</w:t>
      </w:r>
    </w:p>
    <w:p>
      <w:pPr>
        <w:spacing w:before="0" w:after="0" w:line="408" w:lineRule="exact"/>
        <w:ind w:left="0" w:right="0" w:firstLine="576"/>
        <w:jc w:val="left"/>
      </w:pPr>
      <w:r>
        <w:rPr/>
        <w:t xml:space="preserve">(b) The task force shall choose its chair from among the legislators in its membership. Legislative members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Costs to complete the project;</w:t>
      </w:r>
    </w:p>
    <w:p>
      <w:pPr>
        <w:spacing w:before="0" w:after="0" w:line="408" w:lineRule="exact"/>
        <w:ind w:left="0" w:right="0" w:firstLine="576"/>
        <w:jc w:val="left"/>
      </w:pPr>
      <w:r>
        <w:rPr/>
        <w:t xml:space="preserve">(b) Timeline, stages, and stakeholders needed to complete the project; and</w:t>
      </w:r>
    </w:p>
    <w:p>
      <w:pPr>
        <w:spacing w:before="0" w:after="0" w:line="408" w:lineRule="exact"/>
        <w:ind w:left="0" w:right="0" w:firstLine="576"/>
        <w:jc w:val="left"/>
      </w:pPr>
      <w:r>
        <w:rPr/>
        <w:t xml:space="preserve">(c) Feasibility of completing the project.</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must sell the property known as Tacoma Rhodes complex for at least fair market value. The property consists of the Broadway building, the market building, and the parking garage. The department must use the surplus property operations requirements for the sale process in RCW 43.17.400. The department must retain federal obligations and may retain appraisal costs, debt service, and closing costs. The remaining net </w:t>
      </w:r>
      <w:r>
        <w:rPr/>
        <w:t xml:space="preserve">proceeds from the sale must be deposited into the Thurston county capital facilities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TASK FORCE ON IMPROVING STATE FUNDING FOR SCHOOL CONSTRUCTION.</w:t>
      </w:r>
      <w:r>
        <w:t xml:space="preserve">  </w:t>
      </w: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preliminary findings and recommendations to the appropriate committees of the legislature by December 1, 2017. The task force must report its final findings and recommendations to the governor, the superintendent of public instruction, and the appropriate committees of the legislature by October 1,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4004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parks and recreation commission, with guidance and instruction from the office of financial management, must create a reporting structure to track the success and progress of addressing the maintenance backlog of state parks facilities. The reporting structure must provide a forecast of new project proposals, the status of current funded projects and a list of completed projects. The report must also include a facilities condition index that illustrates changes to the overall quality of facilities of state parks. The legislature intends to receive future biennia capital budget requests that address facility maintenance backlog from the commission in the form of this new report structure as additional information to the current format for agency budget submittal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includes $2.71 billion in bond appropriation, $1.45 billion in other funds; appropriations total $4.17 billion. The 2017 supplemental increases bond appropriations by $9.8 million and reduces other funds by $103.7 million. Detailed information on the striking amendment can be found at leap.wa.gov.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e43d93afb0484f" /></Relationships>
</file>