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e0268316468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8727</w:t>
      </w:r>
    </w:p>
    <w:p/>
    <w:p/>
    <w:p>
      <w:r>
        <w:t xml:space="preserve">By </w:t>
      </w:r>
      <w:r>
        <w:t>Senators Fain, Braun, Frockt, Litzow, Jayapal, and Rolfes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Miss Auburn Scholarship Program is the leading community-based scholarship competition of its kind in the state;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Miss Auburn Scholarship pageant is an official preliminary to the Miss Washington and Miss America pageants;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goal of the Miss Auburn Scholarship Program is to inspire accomplishments and motivate personal achievement in young women and promote young women's education and community involvement;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Seventeen year old Cami Werden was crowned Miss Auburn out of a pool of nine remarkable contestants;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Sixteen year old Jaclyn Seifert was crowned Miss Auburn's Outstanding Teen;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Cami is a senior at Auburn Riverside High School and will graduate with honors this spring;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Cami hopes to pursue a degree in communications and someday become a tour director for a museum or a national park;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Cami sang an emotional rendition of "There's Always Me" from the American jukebox musical "All Shook Up";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Cami competed on the platform of breast cancer awareness--which was very personal because her grandmothers have faced the disease;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Jaclyn is a sophomore at Kennedy Catholic High School and hopes to study psychology and business in college;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Jaclyn has been singing and playing the piano since she was young, and sang a powerful rendition of a Puccini opera;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Jaclyn competed on the platform of combating teenage depression;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and support the good work of the Miss Auburn Scholarship Program;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immediately transmitted by the Secretary of the Senate to the Miss Auburn Scholarship Program; Cami Werden, Miss Auburn 2016; and Jaclyn Seifert, Miss Auburn Outstanding Teen 2016.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8727,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25,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ab0ca9d5b472a" /></Relationships>
</file>