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b484870bb4a3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8726</w:t>
      </w:r>
    </w:p>
    <w:p/>
    <w:p/>
    <w:p>
      <w:r>
        <w:t xml:space="preserve">By </w:t>
      </w:r>
      <w:r>
        <w:t>Senators Frockt, Bailey, Miloscia, Nelson, Habib, Baumgartner, McAuliffe, and Fraser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Five years ago this spring, the state of Washington enacted RCW 28B.77.240, expanding access to affordable bachelor's and master's degrees for Washington residents through the creation of online, competency-based Western Governors University Washington (WGU Washington);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offers high-quality, career-focused degree programs in fields vital to the state's economy, including business, health professions, teaching, and information technology;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contributes to the Washington Student Achievement Council's educational attainment goal of at least seventy percent of Washington adults achieving a postsecondary credential by 2023;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has experienced an enrollment increase of one thousand percent since 2011, growing to more than eight thousand five hundred full-time students and making Washington home to more WGU students than any other state in the 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has awarded more than five thousand one hundred degrees to hard-working, motivated men and women, helping develop the business leaders, nurses, teachers, and information technology professionals needed to keep Washington's economy strong;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is committed to helping Washingtonians achieve their dreams for a university degree and career success;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the fifth anniversary of WGU Washington, and recognize its important role in providing our state's population with high-quality and career-focused education.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8726,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23, 2016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b26414f21416c" /></Relationships>
</file>