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ad8b2f6c8c454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6558</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7, 2016</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4,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6558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6558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Health Care (originally sponsored by Senators Parlette and Cleveland)</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a hospital pharmacy license to include individual practitioner offices and multipracitioner clinics owned and operated by a hospital and ensuring such offices and clinics are inspected according to the level of service provided; amending RCW 18.64.043; and adding a new section to chapter 18.64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The intent of this legislation is to make clear the legislature's directive to the commission to allow hospital pharmacy licenses to include individual practitioner offices and multipractitioner clinics owned, operated, or under common control with a hospital and that such offices and clinics are regulated, inspected, and investigated according to the level of service provided. While legislation providing for such a system was enacted in 2015, it has yet to be implemented. The legislature wishes to specify a clear timeline for implementation.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043</w:t>
      </w:r>
      <w:r>
        <w:rPr/>
        <w:t xml:space="preserve"> and 2015 c 234 s 4 are each amended to read as follows:</w:t>
      </w:r>
    </w:p>
    <w:p>
      <w:pPr>
        <w:spacing w:before="0" w:after="0" w:line="408" w:lineRule="exact"/>
        <w:ind w:left="0" w:right="0" w:firstLine="576"/>
        <w:jc w:val="left"/>
      </w:pPr>
      <w:r>
        <w:rPr/>
        <w:t xml:space="preserve">(1) The owner of each pharmacy shall pay an original license fee to be determined by the secretary, and annually thereafter, on or before a date to be determined by the secretary, a fee to be determined by the secretary, for which he or she shall receive a license of location, which shall entitle the owner to operate such pharmacy at the location specified, or such other temporary location as the secretary may approve, for the period ending on a date to be determined by the secretary as provided in RCW 43.70.250 and 43.70.280, and each such owner shall at the time of filing proof of payment of such fee as provided in RCW 18.64.045 as now or hereafter amended, file with the </w:t>
      </w:r>
      <w:r>
        <w:t>((</w:t>
      </w:r>
      <w:r>
        <w:rPr>
          <w:strike/>
        </w:rPr>
        <w:t xml:space="preserve">department</w:t>
      </w:r>
      <w:r>
        <w:t>))</w:t>
      </w:r>
      <w:r>
        <w:rPr/>
        <w:t xml:space="preserve"> </w:t>
      </w:r>
      <w:r>
        <w:rPr>
          <w:u w:val="single"/>
        </w:rPr>
        <w:t xml:space="preserve">commission</w:t>
      </w:r>
      <w:r>
        <w:rPr/>
        <w:t xml:space="preserve"> on a blank therefor provided, a declaration of ownership and location, which declaration of ownership and location so filed as aforesaid shall be deemed presumptive evidence of ownership of the pharmacy mentioned therein.</w:t>
      </w:r>
    </w:p>
    <w:p>
      <w:pPr>
        <w:spacing w:before="0" w:after="0" w:line="408" w:lineRule="exact"/>
        <w:ind w:left="0" w:right="0" w:firstLine="576"/>
        <w:jc w:val="left"/>
      </w:pPr>
      <w:r>
        <w:rPr>
          <w:u w:val="single"/>
        </w:rPr>
        <w:t xml:space="preserve">(2)(a)</w:t>
      </w:r>
      <w:r>
        <w:rPr/>
        <w:t xml:space="preserve"> For a hospital licensed under chapter 70.41 RCW, the license of location provided under this section may include any individual practitioner's office or multipractitioner clinic owned </w:t>
      </w:r>
      <w:r>
        <w:t>((</w:t>
      </w:r>
      <w:r>
        <w:rPr>
          <w:strike/>
        </w:rPr>
        <w:t xml:space="preserve">and</w:t>
      </w:r>
      <w:r>
        <w:t>))</w:t>
      </w:r>
      <w:r>
        <w:rPr>
          <w:u w:val="single"/>
        </w:rPr>
        <w:t xml:space="preserve">,</w:t>
      </w:r>
      <w:r>
        <w:rPr/>
        <w:t xml:space="preserve"> operated </w:t>
      </w:r>
      <w:r>
        <w:t>((</w:t>
      </w:r>
      <w:r>
        <w:rPr>
          <w:strike/>
        </w:rPr>
        <w:t xml:space="preserve">by</w:t>
      </w:r>
      <w:r>
        <w:t>))</w:t>
      </w:r>
      <w:r>
        <w:rPr>
          <w:u w:val="single"/>
        </w:rPr>
        <w:t xml:space="preserve">, or under common control with</w:t>
      </w:r>
      <w:r>
        <w:rPr/>
        <w:t xml:space="preserve"> a hospital, and identified by the hospital on the pharmacy application or renewal. </w:t>
      </w:r>
      <w:r>
        <w:t>((</w:t>
      </w:r>
      <w:r>
        <w:rPr>
          <w:strike/>
        </w:rPr>
        <w:t xml:space="preserve">A hospital that elects to include one or more offices or clinics under this subsection on its pharmacy application must maintain the office or clinic under its pharmacy license through at least one pharmacy inspection or twenty-four months. However, the department may, in its discretion, allow a change in licensure at an earlier time.</w:t>
      </w:r>
      <w:r>
        <w:t>))</w:t>
      </w:r>
      <w:r>
        <w:rPr/>
        <w:t xml:space="preserve"> </w:t>
      </w:r>
      <w:r>
        <w:rPr>
          <w:u w:val="single"/>
        </w:rPr>
        <w:t xml:space="preserve">The definition of "hospital" under RCW 70.41.020 to exclude "clinics, or physician's offices where patients are not regularly kept as bed patients for twenty-four hours or more," does not limit the ability of a hospital to include individual practitioner's offices or multipractitioner clinics owned, operated, or under common control with a hospital on the pharmacy application or renewal or otherwise prevent the implementation of this act. A hospital that elects to include one or more offices or clinics under this subsection on its hospital pharmacy application shall describe the type of services relevant to the practice of pharmacy provided at each such office or clinic as requested by the commission. Any updates to the application, renewal, or related forms that are necessary to accomplish the provision of this licensure option must be made no later than ninety days after the effective date of this section. Nothing in this section limits the ability of a hospital to transfer drugs to another location consistent with federal laws and RCW 70.41.490, regardless of whether or not an election has been made with respect to adding the receiving location to the hospital's pharmacy license under this section.</w:t>
      </w:r>
    </w:p>
    <w:p>
      <w:pPr>
        <w:spacing w:before="0" w:after="0" w:line="408" w:lineRule="exact"/>
        <w:ind w:left="0" w:right="0" w:firstLine="576"/>
        <w:jc w:val="left"/>
      </w:pPr>
      <w:r>
        <w:rPr>
          <w:u w:val="single"/>
        </w:rPr>
        <w:t xml:space="preserve">(b) This chapter must be interpreted in a manner that supports regulatory, inspection, and investigation standards that are reasonable and appropriate based on the level of risk and the type of services provided in a pharmacy, including pharmacy services provided in a hospital and pharmacy services provided in an individual practitioner office or multipractitioner clinic owned, operated, or under common control with a hospital regardless of the office or clinic's physical address. The commission shall provide clear and specific information regarding the standards to which particular pharmacy services will be held, as appropriate, based on the type of pharmacy service provided at a particular location.</w:t>
      </w:r>
    </w:p>
    <w:p>
      <w:pPr>
        <w:spacing w:before="0" w:after="0" w:line="408" w:lineRule="exact"/>
        <w:ind w:left="0" w:right="0" w:firstLine="576"/>
        <w:jc w:val="left"/>
      </w:pPr>
      <w:r>
        <w:rPr>
          <w:u w:val="single"/>
        </w:rPr>
        <w:t xml:space="preserve">(c)</w:t>
      </w:r>
      <w:r>
        <w:rPr/>
        <w:t xml:space="preserve"> The secretary may adopt rules to establish an additional reasonable fee for any such office or clinic.</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It shall be the duty of the owner to immediately notify the </w:t>
      </w:r>
      <w:r>
        <w:t>((</w:t>
      </w:r>
      <w:r>
        <w:rPr>
          <w:strike/>
        </w:rPr>
        <w:t xml:space="preserve">department</w:t>
      </w:r>
      <w:r>
        <w:t>))</w:t>
      </w:r>
      <w:r>
        <w:rPr/>
        <w:t xml:space="preserve"> </w:t>
      </w:r>
      <w:r>
        <w:rPr>
          <w:u w:val="single"/>
        </w:rPr>
        <w:t xml:space="preserve">commission</w:t>
      </w:r>
      <w:r>
        <w:rPr/>
        <w:t xml:space="preserve"> of any change of location </w:t>
      </w:r>
      <w:r>
        <w:t>((</w:t>
      </w:r>
      <w:r>
        <w:rPr>
          <w:strike/>
        </w:rPr>
        <w:t xml:space="preserve">or</w:t>
      </w:r>
      <w:r>
        <w:t>))</w:t>
      </w:r>
      <w:r>
        <w:rPr>
          <w:u w:val="single"/>
        </w:rPr>
        <w:t xml:space="preserve">,</w:t>
      </w:r>
      <w:r>
        <w:rPr/>
        <w:t xml:space="preserve"> ownership</w:t>
      </w:r>
      <w:r>
        <w:rPr>
          <w:u w:val="single"/>
        </w:rPr>
        <w:t xml:space="preserve">, or licensure</w:t>
      </w:r>
      <w:r>
        <w:rPr/>
        <w:t xml:space="preserve"> and to keep the license of location or the renewal thereof properly exhibited in said pharmacy.</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Failure to comply with this section shall be deemed a misdemeanor, and each day that said failure continues shall be deemed a separate offense.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In the event such license fee remains unpaid on the date due, no renewal or new license shall be issued except upon compliance with administrative procedures, administrative requirements, and fees determined as provided in RCW 43.70.250 and 43.70.280.</w:t>
      </w:r>
    </w:p>
    <w:p>
      <w:pPr>
        <w:spacing w:before="0" w:after="0" w:line="408" w:lineRule="exact"/>
        <w:ind w:left="0" w:right="0" w:firstLine="576"/>
        <w:jc w:val="left"/>
      </w:pPr>
      <w:r>
        <w:rPr>
          <w:u w:val="single"/>
        </w:rPr>
        <w:t xml:space="preserve">(6) If the commission determines that rules are necessary for the immediate implementation of the inspection standards described in this section, it must adopt rules under the emergency rule-making process in RCW 34.05.350, with such emergency rules effective not later than ninety days after the effective date of this section. The commission shall then begin the process to adopt any necessary permanent rules in accordance with chapter 34.05 RCW. The commission shall ensure that during the transition to the permanent rules adopted under this section, an emergency rule remains in effect without a break between the original emergency rule and any subsequent emergency rules that may be necessary. The commission shall ensure that during the transition to permanent rules there is no interruption in provision of the licensure option described under this section.</w:t>
      </w:r>
    </w:p>
    <w:p/>
    <w:p>
      <w:pPr>
        <w:jc w:val="center"/>
      </w:pPr>
      <w:r>
        <w:rPr>
          <w:b/>
        </w:rPr>
        <w:t>--- END ---</w:t>
      </w:r>
    </w:p>
    <w:sectPr>
      <w:pgNumType w:start="1"/>
      <w:footerReference xmlns:r="http://schemas.openxmlformats.org/officeDocument/2006/relationships" r:id="Rb63aa1bc9aa04f9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6558.PL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b01c996f60497b" /><Relationship Type="http://schemas.openxmlformats.org/officeDocument/2006/relationships/footer" Target="/word/footer.xml" Id="Rb63aa1bc9aa04f9c" /></Relationships>
</file>