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d1adc1c4b544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6360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6360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O'Ban, Carlyle, Liias, Jayapal, Frockt, King, Pearson, Pedersen, Hasegawa, and Chase; by request of Attorney General)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traffic-based financial obligations through a unified payment plan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shall convene a work group of stakeholders to provide input and feedback on the development of a plan and program for the efficient statewide consolidation of an individual's traffic-based financial obligations imposed by courts of limited jurisdiction into a unified and affordable payment plan.</w:t>
      </w:r>
    </w:p>
    <w:p>
      <w:pPr>
        <w:spacing w:before="0" w:after="0" w:line="408" w:lineRule="exact"/>
        <w:ind w:left="0" w:right="0" w:firstLine="576"/>
        <w:jc w:val="left"/>
      </w:pPr>
      <w:r>
        <w:rPr/>
        <w:t xml:space="preserve">(2) The following must be invited to participate in the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The director of the Washington state department of licensing or the director's designee;</w:t>
      </w:r>
    </w:p>
    <w:p>
      <w:pPr>
        <w:spacing w:before="0" w:after="0" w:line="408" w:lineRule="exact"/>
        <w:ind w:left="0" w:right="0" w:firstLine="576"/>
        <w:jc w:val="left"/>
      </w:pPr>
      <w:r>
        <w:rPr/>
        <w:t xml:space="preserve">(c) A district or municipal court judge, appointed by the district and municipal court judges' association;</w:t>
      </w:r>
    </w:p>
    <w:p>
      <w:pPr>
        <w:spacing w:before="0" w:after="0" w:line="408" w:lineRule="exact"/>
        <w:ind w:left="0" w:right="0" w:firstLine="576"/>
        <w:jc w:val="left"/>
      </w:pPr>
      <w:r>
        <w:rPr/>
        <w:t xml:space="preserve">(d) A prosecutor, appointed by the Washington association of prosecuting attorneys, or the prosecutor's designee;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district or municipal court administrator or manager, appointed by the district and municipal court management association;</w:t>
      </w:r>
    </w:p>
    <w:p>
      <w:pPr>
        <w:spacing w:before="0" w:after="0" w:line="408" w:lineRule="exact"/>
        <w:ind w:left="0" w:right="0" w:firstLine="576"/>
        <w:jc w:val="left"/>
      </w:pPr>
      <w:r>
        <w:rPr/>
        <w:t xml:space="preserve">(g) A representative of a civil legal aid organization, appointed by the office of civil legal aid;</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A representative of a statewide association of police chiefs and sheriffs, selected by the association;</w:t>
      </w:r>
    </w:p>
    <w:p>
      <w:pPr>
        <w:spacing w:before="0" w:after="0" w:line="408" w:lineRule="exact"/>
        <w:ind w:left="0" w:right="0" w:firstLine="576"/>
        <w:jc w:val="left"/>
      </w:pPr>
      <w:r>
        <w:rPr/>
        <w:t xml:space="preserve">(j) The director of the Washington traffic safety commission or the director's designee;</w:t>
      </w:r>
    </w:p>
    <w:p>
      <w:pPr>
        <w:spacing w:before="0" w:after="0" w:line="408" w:lineRule="exact"/>
        <w:ind w:left="0" w:right="0" w:firstLine="576"/>
        <w:jc w:val="left"/>
      </w:pPr>
      <w:r>
        <w:rPr/>
        <w:t xml:space="preserve">(k) A representative of a statewide association of city governments, selected by the association;</w:t>
      </w:r>
    </w:p>
    <w:p>
      <w:pPr>
        <w:spacing w:before="0" w:after="0" w:line="408" w:lineRule="exact"/>
        <w:ind w:left="0" w:right="0" w:firstLine="576"/>
        <w:jc w:val="left"/>
      </w:pPr>
      <w:r>
        <w:rPr/>
        <w:t xml:space="preserve">(l) A representative of a statewide association of counties, selected by the association; and</w:t>
      </w:r>
    </w:p>
    <w:p>
      <w:pPr>
        <w:spacing w:before="0" w:after="0" w:line="408" w:lineRule="exact"/>
        <w:ind w:left="0" w:right="0" w:firstLine="576"/>
        <w:jc w:val="left"/>
      </w:pPr>
      <w:r>
        <w:rPr/>
        <w:t xml:space="preserve">(m) A representative of a statewide association of collection professionals.</w:t>
      </w:r>
    </w:p>
    <w:p>
      <w:pPr>
        <w:spacing w:before="0" w:after="0" w:line="408" w:lineRule="exact"/>
        <w:ind w:left="0" w:right="0" w:firstLine="576"/>
        <w:jc w:val="left"/>
      </w:pPr>
      <w:r>
        <w:rPr/>
        <w:t xml:space="preserve">(3) The work group shall convene as necessary.</w:t>
      </w:r>
    </w:p>
    <w:p>
      <w:pPr>
        <w:spacing w:before="0" w:after="0" w:line="408" w:lineRule="exact"/>
        <w:ind w:left="0" w:right="0" w:firstLine="576"/>
        <w:jc w:val="left"/>
      </w:pPr>
      <w:r>
        <w:rPr/>
        <w:t xml:space="preserve">(4) The stakeholder work group shall provide final feedback and recommendations to the office of the attorney general no later than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shall submit a report detailing its recommendations and the plan and program required by this act to the Washington state supreme court, the governor, and appropriate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47b935b74ec44f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1f8cc4299f49cd" /><Relationship Type="http://schemas.openxmlformats.org/officeDocument/2006/relationships/footer" Target="/word/footer.xml" Id="R47b935b74ec44ff3" /></Relationships>
</file>