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8608210e34b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6342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93</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6342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Miloscia and Hobbs; by request of Housing Finance Commission)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shall </w:t>
      </w:r>
      <w:r>
        <w:t>((</w:t>
      </w:r>
      <w:r>
        <w:rPr>
          <w:strike/>
        </w:rPr>
        <w:t xml:space="preserve">also</w:t>
      </w:r>
      <w:r>
        <w:t>))</w:t>
      </w:r>
      <w:r>
        <w:rPr/>
        <w:t xml:space="preserve"> submit a biennial report </w:t>
      </w:r>
      <w:r>
        <w:rPr>
          <w:u w:val="single"/>
        </w:rPr>
        <w:t xml:space="preserve">to the legislature</w:t>
      </w:r>
      <w:r>
        <w:rPr/>
        <w:t xml:space="preserve">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7ad56989ec7642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3bd97071741b9" /><Relationship Type="http://schemas.openxmlformats.org/officeDocument/2006/relationships/footer" Target="/word/footer.xml" Id="R7ad56989ec7642bf" /></Relationships>
</file>