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75afb5b264e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6337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37</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61</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Darneille, Miloscia, McCoy, Hasegawa, Conway,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Except when a county legislative authority purchases the tax-foreclosed property for public purposes,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original minimum bid under RCW 84.64.080, together with any direct costs incurred by the county in the sale. If the city chooses to purchase the property, the following conditions apply:</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by the housing authority or other nonprofit entity for the amount the city paid to purchase the property together with any direct costs incurred by the city in the transfer to the housing authority or other nonprofit entity.</w:t>
      </w:r>
    </w:p>
    <w:p/>
    <w:p>
      <w:pPr>
        <w:jc w:val="center"/>
      </w:pPr>
      <w:r>
        <w:rPr>
          <w:b/>
        </w:rPr>
        <w:t>--- END ---</w:t>
      </w:r>
    </w:p>
    <w:sectPr>
      <w:pgNumType w:start="1"/>
      <w:footerReference xmlns:r="http://schemas.openxmlformats.org/officeDocument/2006/relationships" r:id="R038d48ab75174c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d62c526e04579" /><Relationship Type="http://schemas.openxmlformats.org/officeDocument/2006/relationships/footer" Target="/word/footer.xml" Id="R038d48ab75174c0a" /></Relationships>
</file>