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4dff7dc2a14c1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6013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42</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6013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6013</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Senators Roach, Angel, and Dammeier</w:t>
      </w:r>
    </w:p>
    <w:p/>
    <w:p>
      <w:r>
        <w:rPr>
          <w:t xml:space="preserve">Read first time 02/17/15.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providing use tax relief for individuals who support charitable activities; amending RCW 82.12.225;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one intended to accomplish a general purpose as indicated in RCW 82.32.808(2)(f).</w:t>
      </w:r>
    </w:p>
    <w:p>
      <w:pPr>
        <w:ind w:left="0" w:right="0" w:firstLine="360"/>
        <w:jc w:val="both"/>
      </w:pPr>
      <w:r>
        <w:rPr/>
        <w:t xml:space="preserve">(3) It is the legislature's specific public policy objective to provide use tax relief for individuals who support charitable activities by purchasing or winning articles of personal property from a nonprofit organization or library when the personal property is sales tax exempt.</w:t>
      </w:r>
    </w:p>
    <w:p>
      <w:pPr>
        <w:ind w:left="0" w:right="0" w:firstLine="360"/>
        <w:jc w:val="both"/>
      </w:pPr>
      <w:r>
        <w:rPr/>
        <w:t xml:space="preserve">(4) To measure the effectiveness of the exemption provided in this act in achieving the specific public policy objective described in (3) of this section, the joint legislative audit and review committee must evaluate this tax preference.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225</w:t>
      </w:r>
      <w:r>
        <w:rPr/>
        <w:t xml:space="preserve"> and 2013 2nd sp.s. c 13 s 1402 are each amended to read as follows:</w:t>
      </w:r>
    </w:p>
    <w:p>
      <w:pPr>
        <w:ind w:left="0" w:right="0" w:firstLine="360"/>
        <w:jc w:val="both"/>
      </w:pPr>
      <w:r>
        <w:rPr/>
        <w:t xml:space="preserve">(1) The provisions of this chapter do not apply in respect to the use of any article of personal property, valued at less than </w:t>
      </w:r>
      <w:r>
        <w:t>((</w:t>
      </w:r>
      <w:r>
        <w:rPr>
          <w:strike/>
        </w:rPr>
        <w:t xml:space="preserve">ten</w:t>
      </w:r>
      <w:r>
        <w:t>))</w:t>
      </w:r>
      <w:r>
        <w:rPr/>
        <w:t xml:space="preserve"> </w:t>
      </w:r>
      <w:r>
        <w:rPr>
          <w:u w:val="single"/>
        </w:rPr>
        <w:t xml:space="preserve">twelve</w:t>
      </w:r>
      <w:r>
        <w:rPr/>
        <w:t xml:space="preserve"> thousand dollars, purchased or received as a prize in a contest of chance, as defined in RCW 82.04.285, from a nonprofit organization or a library, if the gross income the nonprofit organization or library receives from the sale is exempt under RCW 82.04.3651.</w:t>
      </w:r>
    </w:p>
    <w:p>
      <w:pPr>
        <w:ind w:left="0" w:right="0" w:firstLine="360"/>
        <w:jc w:val="both"/>
      </w:pPr>
      <w:r>
        <w:rPr/>
        <w:t xml:space="preserve">(2) This section expires July 1, </w:t>
      </w:r>
      <w:r>
        <w:t>((</w:t>
      </w:r>
      <w:r>
        <w:rPr>
          <w:strike/>
        </w:rPr>
        <w:t xml:space="preserve">2017</w:t>
      </w:r>
      <w:r>
        <w:t>))</w:t>
      </w:r>
      <w:r>
        <w:rPr/>
        <w:t xml:space="preserve"> </w:t>
      </w:r>
      <w:r>
        <w:rPr>
          <w:u w:val="single"/>
        </w:rPr>
        <w:t xml:space="preserve">2020</w:t>
      </w:r>
      <w:r>
        <w:rPr/>
        <w:t xml:space="preserve">.</w:t>
      </w:r>
    </w:p>
    <w:p/>
    <w:p>
      <w:pPr>
        <w:jc w:val="center"/>
      </w:pPr>
      <w:r>
        <w:rPr>
          <w:b/>
        </w:rPr>
        <w:t>--- END ---</w:t>
      </w:r>
    </w:p>
    <w:sectPr>
      <w:pgNumType w:start="1"/>
      <w:footerReference xmlns:r="http://schemas.openxmlformats.org/officeDocument/2006/relationships" r:id="R95ff10bb500a4c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903fee76414c9c" /><Relationship Type="http://schemas.openxmlformats.org/officeDocument/2006/relationships/footer" Target="/word/footer.xml" Id="R95ff10bb500a4cce" /></Relationships>
</file>