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0c84d98a8c457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5897</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5897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5897</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Cleveland, Darneille, McAuliffe, Kohl-Welles, and Chase)</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providing funding for medical evaluations of suspected victims of child abuse; adding a new section to chapter 7.68 RCW; creating a new section;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medical examinations are important for children who may be victims of physical abuse. The legislature finds that contributing to the cost of these examinations will incentivize timely evaluations, lead to early identification of abuse, and potentially prevent a child from further traumatization or injury.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ind w:left="0" w:right="0" w:firstLine="360"/>
        <w:jc w:val="both"/>
      </w:pPr>
      <w:r>
        <w:rPr/>
        <w:t xml:space="preserve">Subject to the availability of amounts appropriated for this specific purpose, the department must pay, secondary to other insurance benefits, all costs incurred by an institution as defined by RCW 26.44.020 for the examination of a suspected victim of assault of a child when the examination is conducted within seventy-five days of the filing of a petition for dependency under chapter 13.34 or 26.44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2019.</w:t>
      </w:r>
    </w:p>
    <w:p/>
    <w:p>
      <w:pPr>
        <w:jc w:val="center"/>
      </w:pPr>
      <w:r>
        <w:rPr>
          <w:b/>
        </w:rPr>
        <w:t>--- END ---</w:t>
      </w:r>
    </w:p>
    <w:sectPr>
      <w:pgNumType w:start="1"/>
      <w:footerReference xmlns:r="http://schemas.openxmlformats.org/officeDocument/2006/relationships" r:id="R597ba7b43c4545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5897.PL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c76388a1a541ca" /><Relationship Type="http://schemas.openxmlformats.org/officeDocument/2006/relationships/footer" Target="/word/footer.xml" Id="R597ba7b43c454552" /></Relationships>
</file>