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12a8f8664444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84</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and Miloscia)</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and amending RCW 10.77.068.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t>((</w:t>
      </w:r>
      <w:r>
        <w:rPr>
          <w:strike/>
        </w:rPr>
        <w:t xml:space="preserve">treatment or</w:t>
      </w:r>
      <w:r>
        <w:t>))</w:t>
      </w:r>
      <w:r>
        <w:rPr/>
        <w:t xml:space="preserve">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t xml:space="preserve">(ii) </w:t>
      </w:r>
      <w:r>
        <w:rPr>
          <w:u w:val="single"/>
        </w:rPr>
        <w:t xml:space="preserve">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u w:val="single"/>
        </w:rPr>
        <w:t xml:space="preserve">(A) A performance target of seven days or less; 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u w:val="single"/>
        </w:rPr>
        <w:t xml:space="preserve">(iii)</w:t>
      </w:r>
      <w:r>
        <w:rPr/>
        <w:t xml:space="preserve">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police reports, the names and addresses of the attorneys for the defendant and state or county, the name of the judge ordering the evaluation, information about the alleged crime,</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w:t>
      </w:r>
      <w:r>
        <w:t>((</w:t>
      </w:r>
      <w:r>
        <w:rPr>
          <w:strike/>
        </w:rPr>
        <w:t xml:space="preserve">(i) and (ii)</w:t>
      </w:r>
      <w:r>
        <w:t>))</w:t>
      </w:r>
      <w:r>
        <w:rPr/>
        <w:t xml:space="preserve">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w:t>
      </w:r>
      <w:r>
        <w:rPr>
          <w:u w:val="single"/>
        </w:rPr>
        <w:t xml:space="preserve">mental health, substance use disorder, or</w:t>
      </w:r>
      <w:r>
        <w:rPr/>
        <w:t xml:space="preserve"> medical history information which is in the custody of a third party and cannot be immediately obtained by the department. Completion of a competency evaluation shall not be postponed for procurement of </w:t>
      </w:r>
      <w:r>
        <w:rPr>
          <w:u w:val="single"/>
        </w:rPr>
        <w:t xml:space="preserve">mental health, substance use disorder, or</w:t>
      </w:r>
      <w:r>
        <w:rPr/>
        <w:t xml:space="preserve">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
      <w:pPr>
        <w:jc w:val="center"/>
      </w:pPr>
      <w:r>
        <w:rPr>
          <w:b/>
        </w:rPr>
        <w:t>--- END ---</w:t>
      </w:r>
    </w:p>
    <w:sectPr>
      <w:pgNumType w:start="1"/>
      <w:footerReference xmlns:r="http://schemas.openxmlformats.org/officeDocument/2006/relationships" r:id="R40177920ac514b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a9ca6ff6df4266" /><Relationship Type="http://schemas.openxmlformats.org/officeDocument/2006/relationships/footer" Target="/word/footer.xml" Id="R40177920ac514b3f" /></Relationships>
</file>