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f6f31e95d449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5670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37</w:t>
            </w:r>
            <w:r>
              <w:t xml:space="preserve">  Nays </w:t>
              <w:t xml:space="preserve">10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5670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5670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Braun, Chase, Kohl-Welles, Sheldon, Hatfield, Rivers, Bailey, Dansel, Ericksen, Becker, and Hewitt)</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expenditures under the state universal communications services program; and amending RCW 80.36.650.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2013 2nd sp.s. c 8 s 203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during the time over which incumbent communications providers in the state are adapting to changes in federal universal service fund and intercarrier compensation support.</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w:t>
      </w:r>
      <w:r>
        <w:rPr>
          <w:u w:val="single"/>
        </w:rPr>
        <w:t xml:space="preserve">;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r>
        <w:rPr/>
        <w:t xml:space="preserve">.</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2019, and no distributions may be made after that date.</w:t>
      </w:r>
    </w:p>
    <w:p>
      <w:pPr>
        <w:spacing w:before="0" w:after="0" w:line="408" w:lineRule="exact"/>
        <w:ind w:left="0" w:right="0" w:firstLine="576"/>
        <w:jc w:val="left"/>
      </w:pPr>
      <w:r>
        <w:rPr/>
        <w:t xml:space="preserve">(9) This section expires July 1, 2020.</w:t>
      </w:r>
    </w:p>
    <w:p/>
    <w:p>
      <w:pPr>
        <w:jc w:val="center"/>
      </w:pPr>
      <w:r>
        <w:rPr>
          <w:b/>
        </w:rPr>
        <w:t>--- END ---</w:t>
      </w:r>
    </w:p>
    <w:sectPr>
      <w:pgNumType w:start="1"/>
      <w:footerReference xmlns:r="http://schemas.openxmlformats.org/officeDocument/2006/relationships" r:id="Rbc3e2a06b86643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20696c6d884fab" /><Relationship Type="http://schemas.openxmlformats.org/officeDocument/2006/relationships/footer" Target="/word/footer.xml" Id="Rbc3e2a06b8664339" /></Relationships>
</file>