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28749374943e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5464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94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ind w:left="0" w:right="0" w:firstLine="180"/>
              <w:jc w:val="both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5464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ind w:left="0" w:right="0" w:firstLine="18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5464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Warnick, Hatfield, Parlette, Hargrove, Ranker, Hewitt, Fraser, and Chase; by request of Department of Fish and Wildlife</w:t>
      </w:r>
    </w:p>
    <w:p/>
    <w:p>
      <w:r>
        <w:rPr>
          <w:t xml:space="preserve">Read first time 01/22/15.  </w:t>
        </w:rPr>
      </w:r>
      <w:r>
        <w:rPr>
          <w:t xml:space="preserve">Referred to Committee on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unlawfully engaging in fishing guide activity; adding a new section to chapter 77.15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77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ind w:left="0" w:right="0" w:firstLine="360"/>
        <w:jc w:val="both"/>
      </w:pPr>
      <w:r>
        <w:rPr/>
        <w:t xml:space="preserve">(1) A person is guilty of unlawfully engaging in fishing guide activity if the person holds a game fish guide license issued under RCW 77.65.480 or has a license issued under RCW 77.65.010 to operate a charter boat or act as a food fish guide, and the person:</w:t>
      </w:r>
    </w:p>
    <w:p>
      <w:pPr>
        <w:ind w:left="0" w:right="0" w:firstLine="360"/>
        <w:jc w:val="both"/>
      </w:pPr>
      <w:r>
        <w:rPr/>
        <w:t xml:space="preserve">(a) Fails to perform any duty of a charter boat or guide operator established in RCW 77.32.430; or</w:t>
      </w:r>
    </w:p>
    <w:p>
      <w:pPr>
        <w:ind w:left="0" w:right="0" w:firstLine="360"/>
        <w:jc w:val="both"/>
      </w:pPr>
      <w:r>
        <w:rPr/>
        <w:t xml:space="preserve">(b) Violates any rule of the commission or director regarding the sale, possession, issuance, or reporting of temporary fishing licenses, temporary short-term charter stamps, or catch record cards.</w:t>
      </w:r>
    </w:p>
    <w:p>
      <w:pPr>
        <w:ind w:left="0" w:right="0" w:firstLine="360"/>
        <w:jc w:val="both"/>
      </w:pPr>
      <w:r>
        <w:rPr/>
        <w:t xml:space="preserve">(2) Unlawfully engaging in fishing guide activity is a gross misdemeanor.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fa28fdaa87042d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5464.PL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1522239e04b3c" /><Relationship Type="http://schemas.openxmlformats.org/officeDocument/2006/relationships/footer" Target="/word/footer.xml" Id="Rcfa28fdaa87042d5" /></Relationships>
</file>