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2944975fcb4c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5322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30</w:t>
            </w:r>
            <w:r>
              <w:t xml:space="preserve">  Nays </w:t>
              <w:t xml:space="preserve">18</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65</w:t>
            </w:r>
            <w:r>
              <w:t xml:space="preserve">  Nays </w:t>
              <w:t xml:space="preserve">32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5322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5322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Hatfield, Hobbs, and Honeyford)</w:t>
      </w:r>
    </w:p>
    <w:p/>
    <w:p>
      <w:r>
        <w:rPr>
          <w:t xml:space="preserve">READ FIRST TIME 02/04/15.  </w:t>
        </w:rPr>
      </w:r>
    </w:p>
    <w:p>
      <w:r>
        <w:br/>
      </w:r>
    </w:p>
    <w:p>
      <w:r>
        <w:fldChar w:fldCharType="begin"/>
      </w:r>
      <w:r>
        <w:instrText xml:space="default"> ADVANCE \y328 </w:instrText>
      </w:r>
      <w:r>
        <w:fldChar w:fldCharType="end"/>
      </w:r>
    </w:p>
    <w:p>
      <w:pPr>
        <w:ind w:left="0" w:right="0" w:firstLine="360"/>
        <w:jc w:val="both"/>
      </w:pPr>
      <w:r>
        <w:rPr/>
        <w:t xml:space="preserve">AN ACT Relating to conservation districts' rates and charges; and amending RCW 89.08.405.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2012 c 60 s 1 are each amended to read as follows:</w:t>
      </w:r>
    </w:p>
    <w:p>
      <w:pPr>
        <w:ind w:left="0" w:right="0" w:firstLine="360"/>
        <w:jc w:val="both"/>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ind w:left="0" w:right="0" w:firstLine="360"/>
        <w:jc w:val="both"/>
      </w:pPr>
      <w:r>
        <w:rPr/>
        <w:t xml:space="preserve">(2) A conservation district, in proposing a system of rates and charges, may consider:</w:t>
      </w:r>
    </w:p>
    <w:p>
      <w:pPr>
        <w:ind w:left="0" w:right="0" w:firstLine="360"/>
        <w:jc w:val="both"/>
      </w:pPr>
      <w:r>
        <w:rPr/>
        <w:t xml:space="preserve">(a) Services furnished, to be furnished, or available to the landowner;</w:t>
      </w:r>
    </w:p>
    <w:p>
      <w:pPr>
        <w:ind w:left="0" w:right="0" w:firstLine="360"/>
        <w:jc w:val="both"/>
      </w:pPr>
      <w:r>
        <w:rPr/>
        <w:t xml:space="preserve">(b) Benefits received, to be received, or available to the property;</w:t>
      </w:r>
    </w:p>
    <w:p>
      <w:pPr>
        <w:ind w:left="0" w:right="0" w:firstLine="360"/>
        <w:jc w:val="both"/>
      </w:pPr>
      <w:r>
        <w:rPr/>
        <w:t xml:space="preserve">(c) The character and use of land;</w:t>
      </w:r>
    </w:p>
    <w:p>
      <w:pPr>
        <w:ind w:left="0" w:right="0" w:firstLine="360"/>
        <w:jc w:val="both"/>
      </w:pPr>
      <w:r>
        <w:rPr/>
        <w:t xml:space="preserve">(d) The nonprofit public benefit status, as defined in RCW 24.03.490, of the land user;</w:t>
      </w:r>
    </w:p>
    <w:p>
      <w:pPr>
        <w:ind w:left="0" w:right="0" w:firstLine="360"/>
        <w:jc w:val="both"/>
      </w:pPr>
      <w:r>
        <w:rPr/>
        <w:t xml:space="preserve">(e) The income level of persons served or provided benefits under this chapter, including senior citizens and disabled persons; or</w:t>
      </w:r>
    </w:p>
    <w:p>
      <w:pPr>
        <w:ind w:left="0" w:right="0" w:firstLine="360"/>
        <w:jc w:val="both"/>
      </w:pPr>
      <w:r>
        <w:rPr/>
        <w:t xml:space="preserve">(f) Any other matters that present a reasonable difference as a ground for distinction</w:t>
      </w:r>
      <w:r>
        <w:rPr>
          <w:u w:val="single"/>
        </w:rPr>
        <w:t xml:space="preserve">, including the natural resource needs within the district and the capacity of the district to provide either services or improvements, or both</w:t>
      </w:r>
      <w:r>
        <w:rPr/>
        <w:t xml:space="preserve">.</w:t>
      </w:r>
    </w:p>
    <w:p>
      <w:pPr>
        <w:ind w:left="0" w:right="0" w:firstLine="360"/>
        <w:jc w:val="both"/>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ten cents per acre. The maximum annual per parcel rate shall not exceed five dollars, except that for counties with a population of over </w:t>
      </w:r>
      <w:r>
        <w:t>((</w:t>
      </w:r>
      <w:r>
        <w:rPr>
          <w:strike/>
        </w:rPr>
        <w:t xml:space="preserve">one million five</w:t>
      </w:r>
      <w:r>
        <w:t>))</w:t>
      </w:r>
      <w:r>
        <w:rPr>
          <w:u w:val="single"/>
        </w:rPr>
        <w:t xml:space="preserve">four</w:t>
      </w:r>
      <w:r>
        <w:rPr/>
        <w:t xml:space="preserve"> hundred </w:t>
      </w:r>
      <w:r>
        <w:rPr>
          <w:u w:val="single"/>
        </w:rPr>
        <w:t xml:space="preserve">eighty</w:t>
      </w:r>
      <w:r>
        <w:rPr/>
        <w:t xml:space="preserve"> thousand persons, the maximum annual per parcel rate shall not exceed ten dollars</w:t>
      </w:r>
      <w:r>
        <w:rPr>
          <w:u w:val="single"/>
        </w:rPr>
        <w:t xml:space="preserve">, and for counties with a population of over one million five hundred thousand persons, the maximum annual per parcel rate shall not exceed fifteen dollars</w:t>
      </w:r>
      <w:r>
        <w:rPr/>
        <w:t xml:space="preserve">.</w:t>
      </w:r>
    </w:p>
    <w:p>
      <w:pPr>
        <w:ind w:left="0" w:right="0" w:firstLine="360"/>
        <w:jc w:val="both"/>
      </w:pPr>
      <w:r>
        <w:rPr/>
        <w:t xml:space="preserve">(b)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ind w:left="0" w:right="0" w:firstLine="360"/>
        <w:jc w:val="both"/>
      </w:pPr>
      <w:r>
        <w:rPr/>
        <w:t xml:space="preserve">(c) Forest 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 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 lands in the conservation district; and (ii) the denominator shall be the total number of nonforest land acres in the conservation district that are served by the activities of the conservation district and that are subject to the rates or charges of the conservation district. No more than ten thousand acres of such forest lands that is both owned by the same person or entity and is located in the same conservation district may be subject to the rates and charges that are imposed for that conservation district in any year. Per parcel charges shall not be imposed on forest land parcels. However, in lieu of a per parcel charge, a charge of up to three dollars per forest landowner may be imposed on each owner of forest lands whose forest lands are subject to a per acre rate or charge.</w:t>
      </w:r>
    </w:p>
    <w:p>
      <w:pPr>
        <w:ind w:left="0" w:right="0" w:firstLine="360"/>
        <w:jc w:val="both"/>
      </w:pPr>
      <w:r>
        <w:rPr/>
        <w:t xml:space="preserve">(4) The consideration, development, adoption, and implementation of a system of rates and charges shall follow the same public notice and hearing process and be subject to the same procedure and authority of RCW 89.08.400(2).</w:t>
      </w:r>
    </w:p>
    <w:p>
      <w:pPr>
        <w:ind w:left="0" w:right="0" w:firstLine="360"/>
        <w:jc w:val="both"/>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ind w:left="0" w:right="0" w:firstLine="360"/>
        <w:jc w:val="both"/>
      </w:pPr>
      <w:r>
        <w:rPr/>
        <w:t xml:space="preserve">(b) Any appeal must be filed by the landowner with the conservation district no later than twenty-one days after the date property taxes are due. The decision of the board of supervisors regarding any appeal shall be final and conclusive.</w:t>
      </w:r>
    </w:p>
    <w:p>
      <w:pPr>
        <w:ind w:left="0" w:right="0" w:firstLine="360"/>
        <w:jc w:val="both"/>
      </w:pPr>
      <w:r>
        <w:rPr/>
        <w:t xml:space="preserve">(c) Any appeal of the decision of the board shall be to the superior court of the county in which the district is located, and served and filed within twenty-one days of the date of the board's written decision.</w:t>
      </w:r>
    </w:p>
    <w:p>
      <w:pPr>
        <w:ind w:left="0" w:right="0" w:firstLine="360"/>
        <w:jc w:val="both"/>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costs incurred by the county assessor and county treasurer in spreading and collecting the rates and charges, but not to exceed the actual costs of such work. All remaining funds collected under this section shall be transferred to the conservation district and used by the conservation district in accordance with this section.</w:t>
      </w:r>
    </w:p>
    <w:p>
      <w:pPr>
        <w:ind w:left="0" w:right="0" w:firstLine="360"/>
        <w:jc w:val="both"/>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fifteenth day of December in that year, a petition has been filed with the county legislative authority objecting to the imposition of such rates and charges, which petition has been signed by at least twenty percent of the owners of land that would be subject to the rate or charge to be imposed for a conservation district.</w:t>
      </w:r>
    </w:p>
    <w:p/>
    <w:p>
      <w:pPr>
        <w:jc w:val="center"/>
      </w:pPr>
      <w:r>
        <w:rPr>
          <w:b/>
        </w:rPr>
        <w:t>--- END ---</w:t>
      </w:r>
    </w:p>
    <w:sectPr>
      <w:pgNumType w:start="1"/>
      <w:footerReference xmlns:r="http://schemas.openxmlformats.org/officeDocument/2006/relationships" r:id="R5d86cbd75bad49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636a0b0b044873" /><Relationship Type="http://schemas.openxmlformats.org/officeDocument/2006/relationships/footer" Target="/word/footer.xml" Id="R5d86cbd75bad496d" /></Relationships>
</file>