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aa026af0494c3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5186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28,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5186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5186</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Senate Ways &amp; Means (originally sponsored by Senators Benton, Hasegawa, Sheldon, and Keiser)</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property tax exemptions for service-connected disabled veterans and senior citizens; amending RCW 84.36.381 and 84.38.030; and creating new sections.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this tax preference as one intended to provide tax relief for certain businesses or individuals, as indicated in RCW 82.32.808(2)(e).</w:t>
      </w:r>
    </w:p>
    <w:p>
      <w:pPr>
        <w:ind w:left="0" w:right="0" w:firstLine="360"/>
        <w:jc w:val="both"/>
      </w:pPr>
      <w:r>
        <w:rPr/>
        <w:t xml:space="preserve">(2) It is the legislature's specific public policy objective to provide tax relief to senior citizens, disabled persons, and veterans. The legislature recognizes that property taxes impose a substantial financial burden on those with fixed incomes and that property tax relief programs have considerable value in addressing this burden. It is the legislature's intent to increase the current statutory static income thresholds which were last modified in 2004.</w:t>
      </w:r>
    </w:p>
    <w:p>
      <w:pPr>
        <w:ind w:left="0" w:right="0" w:firstLine="360"/>
        <w:jc w:val="both"/>
      </w:pPr>
      <w:r>
        <w:rPr/>
        <w:t xml:space="preserve">(3) The expansion of the items allowed to be deducted is meant to be permanent and, therefore, not subject to the ten-year expiration provision in RCW 82.32.805(1)(a).</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2012 c 10 s 73 are each amended to read as follows:</w:t>
      </w:r>
    </w:p>
    <w:p>
      <w:pPr>
        <w:ind w:left="0" w:right="0" w:firstLine="360"/>
        <w:jc w:val="both"/>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ind w:left="0" w:right="0" w:firstLine="360"/>
        <w:jc w:val="both"/>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ind w:left="0" w:right="0" w:firstLine="360"/>
        <w:jc w:val="both"/>
      </w:pPr>
      <w:r>
        <w:rPr/>
        <w:t xml:space="preserve">(a) The residence is temporarily unoccupied;</w:t>
      </w:r>
    </w:p>
    <w:p>
      <w:pPr>
        <w:ind w:left="0" w:right="0" w:firstLine="360"/>
        <w:jc w:val="both"/>
      </w:pPr>
      <w:r>
        <w:rPr/>
        <w:t xml:space="preserve">(b) The residence is occupied by a spouse or a domestic partner and/or a person financially dependent on the claimant for support; or</w:t>
      </w:r>
    </w:p>
    <w:p>
      <w:pPr>
        <w:ind w:left="0" w:right="0" w:firstLine="360"/>
        <w:jc w:val="both"/>
      </w:pPr>
      <w:r>
        <w:rPr/>
        <w:t xml:space="preserve">(c) The residence is rented for the purpose of paying nursing home, hospital, assisted living facility, or adult family home costs;</w:t>
      </w:r>
    </w:p>
    <w:p>
      <w:pPr>
        <w:ind w:left="0" w:right="0" w:firstLine="360"/>
        <w:jc w:val="both"/>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ind w:left="0" w:right="0" w:firstLine="360"/>
        <w:jc w:val="both"/>
      </w:pPr>
      <w:r>
        <w:rPr/>
        <w:t xml:space="preserve">(3)(a) The person claiming the exemption must be:</w:t>
      </w:r>
    </w:p>
    <w:p>
      <w:pPr>
        <w:ind w:left="0" w:right="0" w:firstLine="360"/>
        <w:jc w:val="both"/>
      </w:pPr>
      <w:r>
        <w:rPr/>
        <w:t xml:space="preserve">(i) Sixty-one years of age or older on December 31st of the year in which the exemption claim is filed, or must have been, at the time of filing, retired from regular gainful employment by reason of disability; or</w:t>
      </w:r>
    </w:p>
    <w:p>
      <w:pPr>
        <w:ind w:left="0" w:right="0" w:firstLine="360"/>
        <w:jc w:val="both"/>
      </w:pPr>
      <w:r>
        <w:rPr/>
        <w:t xml:space="preserve">(ii) A veteran of the armed forces of the United States entitled to and receiving compensation from the United States department of veterans affairs at a total disability rating for a service-connected disability.</w:t>
      </w:r>
    </w:p>
    <w:p>
      <w:pPr>
        <w:ind w:left="0" w:right="0" w:firstLine="360"/>
        <w:jc w:val="both"/>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ind w:left="0" w:right="0" w:firstLine="360"/>
        <w:jc w:val="both"/>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ind w:left="0" w:right="0" w:firstLine="360"/>
        <w:jc w:val="both"/>
      </w:pPr>
      <w:r>
        <w:rPr/>
        <w:t xml:space="preserve">(5)(a) A person who otherwise qualifies under this section and has a combined disposable income of </w:t>
      </w:r>
      <w:r>
        <w:t>((</w:t>
      </w:r>
      <w:r>
        <w:rPr>
          <w:strike/>
        </w:rPr>
        <w:t xml:space="preserve">thirty-five</w:t>
      </w:r>
      <w:r>
        <w:t>))</w:t>
      </w:r>
      <w:r>
        <w:rPr/>
        <w:t xml:space="preserve"> </w:t>
      </w:r>
      <w:r>
        <w:rPr>
          <w:u w:val="single"/>
        </w:rPr>
        <w:t xml:space="preserve">forty</w:t>
      </w:r>
      <w:r>
        <w:rPr/>
        <w:t xml:space="preserve"> thousand dollars or less is exempt from all excess property taxes; and</w:t>
      </w:r>
    </w:p>
    <w:p>
      <w:pPr>
        <w:ind w:left="0" w:right="0" w:firstLine="360"/>
        <w:jc w:val="both"/>
      </w:pPr>
      <w:r>
        <w:rPr/>
        <w:t xml:space="preserve">(b)(i) A person who otherwise qualifies under this section and has a combined disposable income of </w:t>
      </w:r>
      <w:r>
        <w:t>((</w:t>
      </w:r>
      <w:r>
        <w:rPr>
          <w:strike/>
        </w:rPr>
        <w:t xml:space="preserve">thirty</w:t>
      </w:r>
      <w:r>
        <w:t>))</w:t>
      </w:r>
      <w:r>
        <w:rPr/>
        <w:t xml:space="preserve"> </w:t>
      </w:r>
      <w:r>
        <w:rPr>
          <w:u w:val="single"/>
        </w:rPr>
        <w:t xml:space="preserve">thirty-five</w:t>
      </w:r>
      <w:r>
        <w:rPr/>
        <w:t xml:space="preserve"> thousand dollars or less but greater than </w:t>
      </w:r>
      <w:r>
        <w:t>((</w:t>
      </w:r>
      <w:r>
        <w:rPr>
          <w:strike/>
        </w:rPr>
        <w:t xml:space="preserve">twenty-five</w:t>
      </w:r>
      <w:r>
        <w:t>))</w:t>
      </w:r>
      <w:r>
        <w:rPr/>
        <w:t xml:space="preserve"> </w:t>
      </w:r>
      <w:r>
        <w:rPr>
          <w:u w:val="single"/>
        </w:rPr>
        <w:t xml:space="preserve">thirty</w:t>
      </w:r>
      <w:r>
        <w:rPr/>
        <w:t xml:space="preserve"> thousand dollars is exempt from all regular property taxes on the greater of fifty thousand dollars or thirty-five percent of the valuation of his or her residence, but not to exceed seventy thousand dollars of the valuation of his or her residence; or</w:t>
      </w:r>
    </w:p>
    <w:p>
      <w:pPr>
        <w:ind w:left="0" w:right="0" w:firstLine="360"/>
        <w:jc w:val="both"/>
      </w:pPr>
      <w:r>
        <w:rPr/>
        <w:t xml:space="preserve">(ii) A person who otherwise qualifies under this section and has a combined disposable income of </w:t>
      </w:r>
      <w:r>
        <w:t>((</w:t>
      </w:r>
      <w:r>
        <w:rPr>
          <w:strike/>
        </w:rPr>
        <w:t xml:space="preserve">twenty-five</w:t>
      </w:r>
      <w:r>
        <w:t>))</w:t>
      </w:r>
      <w:r>
        <w:rPr/>
        <w:t xml:space="preserve"> </w:t>
      </w:r>
      <w:r>
        <w:rPr>
          <w:u w:val="single"/>
        </w:rPr>
        <w:t xml:space="preserve">thirty</w:t>
      </w:r>
      <w:r>
        <w:rPr/>
        <w:t xml:space="preserve"> thousand dollars or less is exempt from all regular property taxes on the greater of sixty thousand dollars or sixty percent of the valuation of his or her residence;</w:t>
      </w:r>
    </w:p>
    <w:p>
      <w:pPr>
        <w:ind w:left="0" w:right="0" w:firstLine="360"/>
        <w:jc w:val="both"/>
      </w:pPr>
      <w:r>
        <w:rPr/>
        <w:t xml:space="preserve">(6)(a) For a person who otherwise qualifies under this section and has a combined disposable income of </w:t>
      </w:r>
      <w:r>
        <w:t>((</w:t>
      </w:r>
      <w:r>
        <w:rPr>
          <w:strike/>
        </w:rPr>
        <w:t xml:space="preserve">thirty-five</w:t>
      </w:r>
      <w:r>
        <w:t>))</w:t>
      </w:r>
      <w:r>
        <w:rPr/>
        <w:t xml:space="preserve"> </w:t>
      </w:r>
      <w:r>
        <w:rPr>
          <w:u w:val="single"/>
        </w:rPr>
        <w:t xml:space="preserve">forty</w:t>
      </w:r>
      <w:r>
        <w:rPr/>
        <w:t xml:space="preserve"> thousand dollars or less,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ind w:left="0" w:right="0" w:firstLine="360"/>
        <w:jc w:val="both"/>
      </w:pPr>
      <w:r>
        <w:rPr/>
        <w:t xml:space="preserve">(b) In no event may the valuation under this subsection be greater than the true and fair value of the residence on January 1st of the assessment year.</w:t>
      </w:r>
    </w:p>
    <w:p>
      <w:pPr>
        <w:ind w:left="0" w:right="0" w:firstLine="360"/>
        <w:jc w:val="both"/>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2008 c 6 s 702 are each amended to read as follows:</w:t>
      </w:r>
    </w:p>
    <w:p>
      <w:pPr>
        <w:ind w:left="0" w:right="0" w:firstLine="360"/>
        <w:jc w:val="both"/>
      </w:pPr>
      <w:r>
        <w:rPr/>
        <w:t xml:space="preserve">A claimant may defer payment of special assessments and/or real property taxes on up to eighty percent of the amount of the claimant's equity value in the claimant's residence if the following conditions are met:</w:t>
      </w:r>
    </w:p>
    <w:p>
      <w:pPr>
        <w:ind w:left="0" w:right="0" w:firstLine="360"/>
        <w:jc w:val="both"/>
      </w:pPr>
      <w:r>
        <w:rPr/>
        <w:t xml:space="preserve">(1) The claimant must meet all requirements for an exemption for the residence under RCW 84.36.381, other than the age and income limits under RCW 84.36.381.</w:t>
      </w:r>
    </w:p>
    <w:p>
      <w:pPr>
        <w:ind w:left="0" w:right="0" w:firstLine="360"/>
        <w:jc w:val="both"/>
      </w:pPr>
      <w:r>
        <w:rPr/>
        <w:t xml:space="preserve">(2) The claimant must be sixty years of age or older on December 31st of the year in which the deferral claim is filed, or must have been, at the time of filing, retired from regular gainful employment by reason of physical disability</w:t>
      </w:r>
      <w:r>
        <w:t>((</w:t>
      </w:r>
      <w:r>
        <w:rPr>
          <w:strike/>
        </w:rPr>
        <w:t xml:space="preserve">: PROVIDED, That</w:t>
      </w:r>
      <w:r>
        <w:t>))</w:t>
      </w:r>
      <w:r>
        <w:rPr>
          <w:u w:val="single"/>
        </w:rPr>
        <w:t xml:space="preserve">. However,</w:t>
      </w:r>
      <w:r>
        <w:rPr/>
        <w:t xml:space="preserve"> any surviving spouse or surviving domestic partner of a person who was receiving a deferral at the time of the person's death shall qualify if the surviving spouse or surviving domestic partner is fifty-seven years of age or older and otherwise meets the requirements of this section.</w:t>
      </w:r>
    </w:p>
    <w:p>
      <w:pPr>
        <w:ind w:left="0" w:right="0" w:firstLine="360"/>
        <w:jc w:val="both"/>
      </w:pPr>
      <w:r>
        <w:rPr/>
        <w:t xml:space="preserve">(3) The claimant must have a combined disposable income, as defined in RCW 84.36.383, of </w:t>
      </w:r>
      <w:r>
        <w:t>((</w:t>
      </w:r>
      <w:r>
        <w:rPr>
          <w:strike/>
        </w:rPr>
        <w:t xml:space="preserve">forty</w:t>
      </w:r>
      <w:r>
        <w:t>))</w:t>
      </w:r>
      <w:r>
        <w:rPr/>
        <w:t xml:space="preserve"> </w:t>
      </w:r>
      <w:r>
        <w:rPr>
          <w:u w:val="single"/>
        </w:rPr>
        <w:t xml:space="preserve">forty-five</w:t>
      </w:r>
      <w:r>
        <w:rPr/>
        <w:t xml:space="preserve"> thousand dollars or less.</w:t>
      </w:r>
    </w:p>
    <w:p>
      <w:pPr>
        <w:ind w:left="0" w:right="0" w:firstLine="360"/>
        <w:jc w:val="both"/>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shall be deemed to be owned by each spouse, each domestic partner, or each cotenant. A claimant who has only a share ownership in cooperative housing, a life estate, a lease for life, or a revocable trust does not satisfy the ownership requirement.</w:t>
      </w:r>
    </w:p>
    <w:p>
      <w:pPr>
        <w:ind w:left="0" w:right="0" w:firstLine="360"/>
        <w:jc w:val="both"/>
      </w:pPr>
      <w:r>
        <w:rPr/>
        <w:t xml:space="preserve">(5) The claimant must have and keep in force fire and casualty insurance in sufficient amount to protect the interest of the state in the claimant's equity value: PROVIDED, That if the claimant fails to keep fire and casualty insurance in force to the extent of the state's interest in the claimant's equity value, the amount deferred shall not exceed one hundred percent of the claimant's equity value in the land or lot only.</w:t>
      </w:r>
    </w:p>
    <w:p>
      <w:pPr>
        <w:ind w:left="0" w:right="0" w:firstLine="360"/>
        <w:jc w:val="both"/>
      </w:pPr>
      <w:r>
        <w:rPr/>
        <w:t xml:space="preserve">(6) In the case of special assessment deferral, the claimant must have opted for payment of such special assessments on the installment method if such method was available.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2016 and thereafter.</w:t>
      </w:r>
    </w:p>
    <w:p/>
    <w:p>
      <w:pPr>
        <w:jc w:val="center"/>
      </w:pPr>
      <w:r>
        <w:rPr>
          <w:b/>
        </w:rPr>
        <w:t>--- END ---</w:t>
      </w:r>
    </w:p>
    <w:sectPr>
      <w:pgNumType w:start="1"/>
      <w:footerReference xmlns:r="http://schemas.openxmlformats.org/officeDocument/2006/relationships" r:id="Ra6ad775e242d43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c6c8513bac4fad" /><Relationship Type="http://schemas.openxmlformats.org/officeDocument/2006/relationships/footer" Target="/word/footer.xml" Id="Ra6ad775e242d43f0" /></Relationships>
</file>