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52537615714a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Kohl-Welles, Rivers, Bailey, Pedersen, Liias, McAuliffe, Frockt, Chase, Keiser, and Hatfield</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marijuana research license; amending RCW 28B.20.502 and 43.350.030; adding a new section to chapter 69.50 RCW; and adding a new section to chapter 42.56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research license that permits a licensee to produce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control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control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control board.</w:t>
      </w:r>
    </w:p>
    <w:p>
      <w:pPr>
        <w:spacing w:before="0" w:after="0" w:line="408" w:lineRule="exact"/>
        <w:ind w:left="0" w:right="0" w:firstLine="576"/>
        <w:jc w:val="left"/>
      </w:pPr>
      <w:r>
        <w:rPr/>
        <w:t xml:space="preserve">(6) The production, possession, delivery, donation, and sale of marijuana in accordance with this section and the rules adopted to implement and enforce it, by a validly licensed marijuana researcher, shall not be a criminal or civil offense under Washington state law. Every marijuana research license shall be issued in the name of the applicant, shall specify the location at which the marijuana researcher intends to operate, which must be within the state of Washington, and the holder thereof shall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and the renewal fee must be deposited to the life sciences discovery fund under RCW 43.350.070.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spacing w:before="0" w:after="0" w:line="408" w:lineRule="exact"/>
        <w:ind w:left="0" w:right="0" w:firstLine="576"/>
        <w:jc w:val="left"/>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u w:val="single"/>
        </w:rPr>
        <w:t xml:space="preserve">marijuana,</w:t>
      </w:r>
      <w:r>
        <w:rPr/>
        <w:t xml:space="preserve"> and may develop medical guidelines for the appropriate administration and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rPr>
          <w:u w:val="single"/>
        </w:rPr>
        <w:t xml:space="preserve">(2) The University of Washington and Washington State University may, in accordance with section 1 of this act, contract with marijuana research licensees to conduct research permitted under this section and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shall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t>((</w:t>
      </w:r>
      <w:r>
        <w:rPr>
          <w:strike/>
        </w:rPr>
        <w:t xml:space="preserve">and</w:t>
      </w:r>
      <w:r>
        <w:t>))</w:t>
      </w:r>
    </w:p>
    <w:p>
      <w:pPr>
        <w:spacing w:before="0" w:after="0" w:line="408" w:lineRule="exact"/>
        <w:ind w:left="0" w:right="0" w:firstLine="576"/>
        <w:jc w:val="left"/>
      </w:pPr>
      <w:r>
        <w:rPr/>
        <w:t xml:space="preserve">(7) </w:t>
      </w:r>
      <w:r>
        <w:rPr>
          <w:u w:val="single"/>
        </w:rPr>
        <w:t xml:space="preserve">Review and approve or disapprove marijuana research license applications under section 1 of this act;</w:t>
      </w:r>
    </w:p>
    <w:p>
      <w:pPr>
        <w:spacing w:before="0" w:after="0" w:line="408" w:lineRule="exact"/>
        <w:ind w:left="0" w:right="0" w:firstLine="576"/>
        <w:jc w:val="left"/>
      </w:pPr>
      <w:r>
        <w:rPr>
          <w:u w:val="single"/>
        </w:rPr>
        <w:t xml:space="preserve">(8) Review any reports made by marijuana research licensees under state liquor control board rule and provide the state liquor control board with its determination on whether the research project continues to meet research qualifications under section 1(1) of this act; and</w:t>
      </w:r>
    </w:p>
    <w:p>
      <w:pPr>
        <w:spacing w:before="0" w:after="0" w:line="408" w:lineRule="exact"/>
        <w:ind w:left="0" w:right="0" w:firstLine="576"/>
        <w:jc w:val="left"/>
      </w:pPr>
      <w:r>
        <w:rPr>
          <w:u w:val="single"/>
        </w:rPr>
        <w:t xml:space="preserve">(9)</w:t>
      </w:r>
      <w:r>
        <w:rPr/>
        <w:t xml:space="preserve">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submitted by marijuana research licensees in accordance with rules adopted by the state liquor control board under section 1 of this act that contain proprietary information are exempt from disclosure under this chapter.</w:t>
      </w:r>
    </w:p>
    <w:p/>
    <w:p>
      <w:pPr>
        <w:jc w:val="center"/>
      </w:pPr>
      <w:r>
        <w:rPr>
          <w:b/>
        </w:rPr>
        <w:t>--- END ---</w:t>
      </w:r>
    </w:p>
    <w:sectPr>
      <w:pgNumType w:start="1"/>
      <w:footerReference xmlns:r="http://schemas.openxmlformats.org/officeDocument/2006/relationships" r:id="R381de2f20fae49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56dc12d071410e" /><Relationship Type="http://schemas.openxmlformats.org/officeDocument/2006/relationships/footer" Target="/word/footer.xml" Id="R381de2f20fae4922" /></Relationships>
</file>