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21feab6b594d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5011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5011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Becker, Cleveland, Frockt, and Keiser</w:t>
      </w:r>
    </w:p>
    <w:p/>
    <w:p>
      <w:r>
        <w:rPr>
          <w:t xml:space="preserve">Prefiled 12/12/14.</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ind w:left="0" w:right="0" w:firstLine="360"/>
        <w:jc w:val="both"/>
      </w:pPr>
      <w:r>
        <w:rPr/>
        <w:t xml:space="preserve">AN ACT Relating to third-party payor release of health care information; amending RCW 70.02.045;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045</w:t>
      </w:r>
      <w:r>
        <w:rPr/>
        <w:t xml:space="preserve"> and 2014 c 223 s 18 are each amended to read as follows:</w:t>
      </w:r>
    </w:p>
    <w:p>
      <w:pPr>
        <w:ind w:left="0" w:right="0" w:firstLine="360"/>
        <w:jc w:val="both"/>
      </w:pPr>
      <w:r>
        <w:rPr/>
        <w:t xml:space="preserve">Third-party payors shall not release health care information disclosed under this chapter, except as required by chapter 43.371 RCW and to the extent that health care providers are authorized to do so under RCW 70.02.050</w:t>
      </w:r>
      <w:r>
        <w:rPr>
          <w:u w:val="single"/>
        </w:rPr>
        <w:t xml:space="preserve">, 70.02.200, and 70.02.210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7fe5ba140ca49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d36e01b843445a" /><Relationship Type="http://schemas.openxmlformats.org/officeDocument/2006/relationships/footer" Target="/word/footer.xml" Id="Rc7fe5ba140ca495c" /></Relationships>
</file>