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bb779c8124784" /></Relationships>
</file>

<file path=word/document.xml><?xml version="1.0" encoding="utf-8"?>
<w:document xmlns:w="http://schemas.openxmlformats.org/wordprocessingml/2006/main">
  <w:body>
    <w:p>
      <w:r>
        <w:t>S-0294.2</w:t>
      </w:r>
    </w:p>
    <w:p>
      <w:pPr>
        <w:jc w:val="center"/>
      </w:pPr>
      <w:r>
        <w:t>_______________________________________________</w:t>
      </w:r>
    </w:p>
    <w:p/>
    <w:p>
      <w:pPr>
        <w:jc w:val="center"/>
      </w:pPr>
      <w:r>
        <w:rPr>
          <w:b/>
        </w:rPr>
        <w:t>SENATE JOINT RESOLUTION 8202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Hasegawa, Kohl-Welles, and Jayapal</w:t>
      </w:r>
    </w:p>
    <w:p/>
    <w:p>
      <w:r>
        <w:rPr>
          <w:t xml:space="preserve">Read first time 01/21/15.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VII of the Constitution of the state of Washington by adding a new section to read as follows:</w:t>
      </w:r>
    </w:p>
    <w:p>
      <w:pPr>
        <w:spacing w:before="120" w:after="0" w:line="408" w:lineRule="exact"/>
        <w:ind w:left="0" w:right="0" w:firstLine="576"/>
        <w:jc w:val="left"/>
      </w:pPr>
      <w:r>
        <w:rPr/>
        <w:t xml:space="preserve">Article VII, section .... (1) The legislature may enact taxes imposed on or measured by net income as defined by the legislature. The legislature may not increase the rates of tax established in the act initially adopting an income tax unless the increase is submitted to the qualified electors of the state and is approved by the majority of the electors voting thereon.</w:t>
      </w:r>
    </w:p>
    <w:p>
      <w:pPr>
        <w:spacing w:before="0" w:after="0" w:line="408" w:lineRule="exact"/>
        <w:ind w:left="0" w:right="0" w:firstLine="576"/>
        <w:jc w:val="left"/>
      </w:pPr>
      <w:r>
        <w:rPr/>
        <w:t xml:space="preserve">(2) Income is not property within the meaning of this article, and a tax on income is not a tax on property.</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ac97c93f3a8f418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29516028e4bc2" /><Relationship Type="http://schemas.openxmlformats.org/officeDocument/2006/relationships/footer" Target="/word/footer.xml" Id="Rac97c93f3a8f4187" /></Relationships>
</file>