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8480617ce44539" /></Relationships>
</file>

<file path=word/document.xml><?xml version="1.0" encoding="utf-8"?>
<w:document xmlns:w="http://schemas.openxmlformats.org/wordprocessingml/2006/main">
  <w:body>
    <w:p>
      <w:r>
        <w:t>S-6795.1</w:t>
      </w:r>
    </w:p>
    <w:p>
      <w:pPr>
        <w:jc w:val="center"/>
      </w:pPr>
      <w:r>
        <w:t>_______________________________________________</w:t>
      </w:r>
    </w:p>
    <w:p/>
    <w:p>
      <w:pPr>
        <w:jc w:val="center"/>
      </w:pPr>
      <w:r>
        <w:rPr>
          <w:b/>
        </w:rPr>
        <w:t>SENATE BILL 6795</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Senators Dammeier and Jayapal; by request of Board of Industrial Insurance Appeals</w:t>
      </w:r>
    </w:p>
    <w:p/>
    <w:p>
      <w:r>
        <w:rPr>
          <w:t xml:space="preserve">Prefiled 05/04/15.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786eac6c029945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099a050fbe4e4b" /><Relationship Type="http://schemas.openxmlformats.org/officeDocument/2006/relationships/footer" Target="/word/footer.xml" Id="R786eac6c02994539" /></Relationships>
</file>