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c719bddc34e7e" /></Relationships>
</file>

<file path=word/document.xml><?xml version="1.0" encoding="utf-8"?>
<w:document xmlns:w="http://schemas.openxmlformats.org/wordprocessingml/2006/main">
  <w:body>
    <w:p>
      <w:r>
        <w:t>S-5099.1</w:t>
      </w:r>
    </w:p>
    <w:p>
      <w:pPr>
        <w:jc w:val="center"/>
      </w:pPr>
      <w:r>
        <w:t>_______________________________________________</w:t>
      </w:r>
    </w:p>
    <w:p/>
    <w:p>
      <w:pPr>
        <w:jc w:val="center"/>
      </w:pPr>
      <w:r>
        <w:rPr>
          <w:b/>
        </w:rPr>
        <w:t>SENATE BILL 6674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McCoy, Fraser, Chase, and Litzow</w:t>
      </w:r>
    </w:p>
    <w:p/>
    <w:p>
      <w:r>
        <w:rPr>
          <w:t xml:space="preserve">Read first time 03/04/16.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 public schools special license plates; amending RCW 46.68.425; reenacting and amending RCW 46.18.200 and 46.17.220; adding a new section to chapter 28A.300 RCW;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Support public schools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a red apple symbol and an education-related motto.</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t>
            </w:r>
            <w:r>
              <w:rPr>
                <w:rFonts w:ascii="Times New Roman" w:hAnsi="Times New Roman"/>
                <w:sz w:val="16"/>
              </w:rPr>
              <w:t xml:space="preserve">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w:t>
            </w:r>
            <w:r>
              <w:rPr>
                <w:rFonts w:ascii="Times New Roman" w:hAnsi="Times New Roman"/>
                <w:sz w:val="16"/>
                <w:u w:val="single"/>
              </w:rPr>
              <w:t xml:space="preserve">Support public schools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$ 60.00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N/A</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w:t>
            </w:r>
          </w:p>
          <w:p>
            <w:pPr>
              <w:spacing w:before="0" w:after="0" w:line="408" w:lineRule="exact"/>
              <w:ind w:left="0" w:right="0" w:firstLine="0"/>
              <w:jc w:val="left"/>
            </w:pPr>
            <w:r>
              <w:rPr>
                <w:rFonts w:ascii="Times New Roman" w:hAnsi="Times New Roman"/>
                <w:sz w:val="16"/>
              </w:rPr>
              <w:t xml:space="preserve">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Support public schools</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Section 4 of this act</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As specified in section 4 of this act</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safety corps account is created in the custody of the state treasurer. All receipts from the sale of support public schools special license plates created in RCW 46.18.200 must be deposited into the account. Expenditures from the account may be used only by educational service districts for:</w:t>
      </w:r>
    </w:p>
    <w:p>
      <w:pPr>
        <w:spacing w:before="0" w:after="0" w:line="408" w:lineRule="exact"/>
        <w:ind w:left="0" w:right="0" w:firstLine="576"/>
        <w:jc w:val="left"/>
      </w:pPr>
      <w:r>
        <w:rPr/>
        <w:t xml:space="preserve">(a) School safety training for administrators and security officers including, but not limited to: Security assessments of school facilities; violence prevention and reporting training for staff as appropriate to the particular duties and responsibilities of the specific staff, including administrators; nonviolence and leadership training for staff and students; and school safety plans. The educational service districts may contract for any services under this subsection (1)(a);</w:t>
      </w:r>
    </w:p>
    <w:p>
      <w:pPr>
        <w:spacing w:before="0" w:after="0" w:line="408" w:lineRule="exact"/>
        <w:ind w:left="0" w:right="0" w:firstLine="576"/>
        <w:jc w:val="left"/>
      </w:pPr>
      <w:r>
        <w:rPr/>
        <w:t xml:space="preserve">(b) Monitoring and mapping of school facilities pursuant to RCW 36.28A.060(3); and</w:t>
      </w:r>
    </w:p>
    <w:p>
      <w:pPr>
        <w:spacing w:before="0" w:after="0" w:line="408" w:lineRule="exact"/>
        <w:ind w:left="0" w:right="0" w:firstLine="576"/>
        <w:jc w:val="left"/>
      </w:pPr>
      <w:r>
        <w:rPr/>
        <w:t xml:space="preserve">(c) Training certificated staff and security officers in emergency preparation.</w:t>
      </w:r>
    </w:p>
    <w:p>
      <w:pPr>
        <w:spacing w:before="0" w:after="0" w:line="408" w:lineRule="exact"/>
        <w:ind w:left="0" w:right="0" w:firstLine="576"/>
        <w:jc w:val="left"/>
      </w:pPr>
      <w:r>
        <w:rPr/>
        <w:t xml:space="preserve">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By January 1, 2019, and in compliance with RCW 43.01.036, the office of the superintendent of public instruction must submit a report to the education committees of the house of representatives and the senate detailing the progress made in implementing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"Firefighter memorial license plates" means special license plates issued under RCW 46.18.200 that display a symbol honoring firefighters in Washington killed in the line of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51a52c6af1345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7607ecf71f4780" /><Relationship Type="http://schemas.openxmlformats.org/officeDocument/2006/relationships/footer" Target="/word/footer.xml" Id="Rc51a52c6af134505" /></Relationships>
</file>