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4da5b57442e0" /></Relationships>
</file>

<file path=word/document.xml><?xml version="1.0" encoding="utf-8"?>
<w:document xmlns:w="http://schemas.openxmlformats.org/wordprocessingml/2006/main">
  <w:body>
    <w:p>
      <w:r>
        <w:t>S-4283.1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02/03/16.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nonmedical tattoo removal procedures for minors by licensed tattoo artists; and amending RCW 26.28.085.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28</w:t>
      </w:r>
      <w:r>
        <w:rPr/>
        <w:t xml:space="preserve">.</w:t>
      </w:r>
      <w:r>
        <w:t xml:space="preserve">085</w:t>
      </w:r>
      <w:r>
        <w:rPr/>
        <w:t xml:space="preserve"> and 1995 c 373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Every person who applies a tattoo to any minor under the age of eighteen is guilty of a misdemeanor. It is not a defense to a violation of this section that the person applying the tattoo did not know the minor's age unless the person applying the tattoo establishes by a preponderance of the evidence that he or she made a reasonable, bona fide attempt to ascertain the true age of the minor by requiring production of a driver's license or other picture identification card or paper and did not rely solely on the oral allegations or apparent age of the minor.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For the purposes of this section, "tattoo" includes any permanent marking or coloring of the skin with any pigment, ink, or dye, or any procedure that leaves a visible scar on the skin. Medical procedures performed by a licensed physician are exempted from this section. </w:t>
      </w:r>
      <w:r>
        <w:rPr>
          <w:u w:val="single"/>
        </w:rPr>
        <w:t xml:space="preserve">This section does not apply to nonmedical tattoo removal procedures performed by tattoo artists licensed under chapter 18.300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9afae6707f74c8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d91f97b9f49a5" /><Relationship Type="http://schemas.openxmlformats.org/officeDocument/2006/relationships/footer" Target="/word/footer.xml" Id="R19afae6707f74c8a" /></Relationships>
</file>