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436898f26e4b6d" /></Relationships>
</file>

<file path=word/document.xml><?xml version="1.0" encoding="utf-8"?>
<w:document xmlns:w="http://schemas.openxmlformats.org/wordprocessingml/2006/main">
  <w:body>
    <w:p>
      <w:r>
        <w:t>S-4262.1</w:t>
      </w:r>
    </w:p>
    <w:p>
      <w:pPr>
        <w:jc w:val="center"/>
      </w:pPr>
      <w:r>
        <w:t>_______________________________________________</w:t>
      </w:r>
    </w:p>
    <w:p/>
    <w:p>
      <w:pPr>
        <w:jc w:val="center"/>
      </w:pPr>
      <w:r>
        <w:rPr>
          <w:b/>
        </w:rPr>
        <w:t>SENATE BILL 6620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McAuliffe, Dammeier, Rolfes, Litzow, Billig, Keiser, and Conway</w:t>
      </w:r>
    </w:p>
    <w:p/>
    <w:p>
      <w:r>
        <w:rPr>
          <w:t xml:space="preserve">Read first time 01/29/16.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statewide plan for funding cost-effective methods for school safety; adding a new section to chapter 28A.300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public schools are required to have safe school plans and procedures in place. The legislature acknowledges that there are costs associated with these plans and procedures. The legislature intends to review the funding of school safety and security programs and work toward a statewide plan for funding cost-effective methods for school safety that meet the needs of local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complete an evaluation of how Washington and other states have addressed the funding of school safety and security programs and submit a report to the appropriate committees of the legislature, the governor, and the office of the superintendent of public instruction by December 1, 2017.</w:t>
      </w:r>
    </w:p>
    <w:p>
      <w:pPr>
        <w:spacing w:before="0" w:after="0" w:line="408" w:lineRule="exact"/>
        <w:ind w:left="0" w:right="0" w:firstLine="576"/>
        <w:jc w:val="left"/>
      </w:pPr>
      <w:r>
        <w:rPr/>
        <w:t xml:space="preserve">(2) This section expires August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and the school safety advisory committee shall hold annual school safety summits. Each annual summit must focus on establishing and monitoring the progress of a statewide plan for funding cost-effective methods for school safety that meet local needs. Other areas of focus may include planning and implementation of school safety planning efforts, training of school safety professionals, and integrating mental health and security measures.</w:t>
      </w:r>
    </w:p>
    <w:p>
      <w:pPr>
        <w:spacing w:before="0" w:after="0" w:line="408" w:lineRule="exact"/>
        <w:ind w:left="0" w:right="0" w:firstLine="576"/>
        <w:jc w:val="left"/>
      </w:pPr>
      <w:r>
        <w:rPr/>
        <w:t xml:space="preserve">(2) Summit participants must be appointed no later than August 1, 2016.</w:t>
      </w:r>
    </w:p>
    <w:p>
      <w:pPr>
        <w:spacing w:before="0" w:after="0" w:line="408" w:lineRule="exact"/>
        <w:ind w:left="0" w:right="0" w:firstLine="576"/>
        <w:jc w:val="left"/>
      </w:pPr>
      <w:r>
        <w:rPr/>
        <w:t xml:space="preserve">(a) The majority and minority leaders of the senate shall appoint two members from each of the relevant caucuses of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The governor shall appoint one representative.</w:t>
      </w:r>
    </w:p>
    <w:p>
      <w:pPr>
        <w:spacing w:before="0" w:after="0" w:line="408" w:lineRule="exact"/>
        <w:ind w:left="0" w:right="0" w:firstLine="576"/>
        <w:jc w:val="left"/>
      </w:pPr>
      <w:r>
        <w:rPr/>
        <w:t xml:space="preserve">(3) Other summit participants may include representatives from the office of the superintendent of public instruction, the department of health, educational service districts, educational associations, emergency management, law enforcement, fire departments, parent organizations, and student organizations.</w:t>
      </w:r>
    </w:p>
    <w:p>
      <w:pPr>
        <w:spacing w:before="0" w:after="0" w:line="408" w:lineRule="exact"/>
        <w:ind w:left="0" w:right="0" w:firstLine="576"/>
        <w:jc w:val="left"/>
      </w:pPr>
      <w:r>
        <w:rPr/>
        <w:t xml:space="preserve">(4) Staff support for the annual summit shall be provided by the office of the superintendent of public instruction and the school safety advisory committee.</w:t>
      </w:r>
    </w:p>
    <w:p>
      <w:pPr>
        <w:spacing w:before="0" w:after="0" w:line="408" w:lineRule="exact"/>
        <w:ind w:left="0" w:right="0" w:firstLine="576"/>
        <w:jc w:val="left"/>
      </w:pPr>
      <w:r>
        <w:rPr/>
        <w:t xml:space="preserve">(5) Nonlegislative summit participants shall be reimbursed as provided in RCW 43.03.050 and 43.03.060. Legislative member summit participants shall be reimbursed for travel expenses in accordance with RCW 44.04.120.</w:t>
      </w:r>
    </w:p>
    <w:p/>
    <w:p>
      <w:pPr>
        <w:jc w:val="center"/>
      </w:pPr>
      <w:r>
        <w:rPr>
          <w:b/>
        </w:rPr>
        <w:t>--- END ---</w:t>
      </w:r>
    </w:p>
    <w:sectPr>
      <w:pgNumType w:start="1"/>
      <w:footerReference xmlns:r="http://schemas.openxmlformats.org/officeDocument/2006/relationships" r:id="R643642d7317e4a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dfb20ba7cb470f" /><Relationship Type="http://schemas.openxmlformats.org/officeDocument/2006/relationships/footer" Target="/word/footer.xml" Id="R643642d7317e4a10" /></Relationships>
</file>