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0a8250da9400f" /></Relationships>
</file>

<file path=word/document.xml><?xml version="1.0" encoding="utf-8"?>
<w:document xmlns:w="http://schemas.openxmlformats.org/wordprocessingml/2006/main">
  <w:body>
    <w:p>
      <w:r>
        <w:t>S-4239.1</w:t>
      </w:r>
    </w:p>
    <w:p>
      <w:pPr>
        <w:jc w:val="center"/>
      </w:pPr>
      <w:r>
        <w:t>_______________________________________________</w:t>
      </w:r>
    </w:p>
    <w:p/>
    <w:p>
      <w:pPr>
        <w:jc w:val="center"/>
      </w:pPr>
      <w:r>
        <w:rPr>
          <w:b/>
        </w:rPr>
        <w:t>SENATE BILL 6617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Frockt</w:t>
      </w:r>
    </w:p>
    <w:p/>
    <w:p>
      <w:r>
        <w:rPr>
          <w:t xml:space="preserve">Read first time 01/29/16.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University of Washington's alternative process for awarding contracts; amending RCW 28B.20.744; and repealing RCW 43.131.413 and 43.131.414.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2015 3rd sp.s. c 3 s 7043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w:t>
      </w:r>
      <w:r>
        <w:rPr>
          <w:u w:val="single"/>
        </w:rPr>
        <w:t xml:space="preserve">, adjusted for inflation from the 2015 fiscal year as determined by the office of financial management in the capital budget cost estimating instructions,</w:t>
      </w:r>
      <w:r>
        <w:rPr/>
        <w:t xml:space="preserve">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and</w:t>
      </w:r>
    </w:p>
    <w:p>
      <w:pPr>
        <w:spacing w:before="0" w:after="0" w:line="408" w:lineRule="exact"/>
        <w:ind w:left="0" w:right="0" w:firstLine="576"/>
        <w:jc w:val="left"/>
      </w:pPr>
      <w:r>
        <w:rPr/>
        <w:t xml:space="preserve">(h) The contractor's record of performance, integrity, judgment, and skills.</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 to the extent permitted by the Washington state civil rights act, RCW 49.60.400</w:t>
      </w:r>
      <w:r>
        <w:rPr>
          <w:u w:val="single"/>
        </w:rPr>
        <w:t xml:space="preserve">, and shall develop a program that provides at least biennial training and support to help these contractors qualify for subcontracting work on a roster project</w:t>
      </w:r>
      <w:r>
        <w:rPr/>
        <w:t xml:space="preserve">.</w:t>
      </w:r>
    </w:p>
    <w:p>
      <w:pPr>
        <w:spacing w:before="0" w:after="0" w:line="408" w:lineRule="exact"/>
        <w:ind w:left="0" w:right="0" w:firstLine="576"/>
        <w:jc w:val="left"/>
      </w:pPr>
      <w:r>
        <w:rPr/>
        <w:t xml:space="preserve">(8) </w:t>
      </w:r>
      <w:r>
        <w:rPr>
          <w:u w:val="single"/>
        </w:rPr>
        <w:t xml:space="preserve">The university shall review postselection processes with any entities for which it operates medical and hospital facilities subject to this section, in order to improve postselection startup of construction activities, prevent delays, and capture potential cost savings.</w:t>
      </w:r>
    </w:p>
    <w:p>
      <w:pPr>
        <w:spacing w:before="0" w:after="0" w:line="408" w:lineRule="exact"/>
        <w:ind w:left="0" w:right="0" w:firstLine="576"/>
        <w:jc w:val="left"/>
      </w:pPr>
      <w:r>
        <w:rPr>
          <w:u w:val="single"/>
        </w:rPr>
        <w:t xml:space="preserve">(9)</w:t>
      </w:r>
      <w:r>
        <w:rPr/>
        <w:t xml:space="preserve"> Beginning in September 2010 and every other September thereafter, the university shall provide a report to the capital projects advisory review board which must, at a minimum, include a list of rosters used, contracts awarded, </w:t>
      </w:r>
      <w:r>
        <w:t>((</w:t>
      </w:r>
      <w:r>
        <w:rPr>
          <w:strike/>
        </w:rPr>
        <w:t xml:space="preserve">and</w:t>
      </w:r>
      <w:r>
        <w:t>))</w:t>
      </w:r>
      <w:r>
        <w:rPr/>
        <w:t xml:space="preserve"> a description of outreach to </w:t>
      </w:r>
      <w:r>
        <w:t>((</w:t>
      </w:r>
      <w:r>
        <w:rPr>
          <w:strike/>
        </w:rPr>
        <w:t xml:space="preserve">and participation by</w:t>
      </w:r>
      <w:r>
        <w:t>))</w:t>
      </w:r>
      <w:r>
        <w:rPr/>
        <w:t xml:space="preserve"> women and minority-owned businesses</w:t>
      </w:r>
      <w:r>
        <w:rPr>
          <w:u w:val="single"/>
        </w:rPr>
        <w:t xml:space="preserve">, and a description of participation by women and minority-owned businesses as contractors or subcontractors in projects using the alternative process described in this section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Beginning in September 2015 and every September thereafter, the university shall report to the office of minority and women's business enterprises and to the appropriate legislative fiscal committees the number of qualified women and minority-owned business contractors on the roster or rosters and the number of contracts awarded to women and minority-owned businesses.</w:t>
      </w:r>
    </w:p>
    <w:p>
      <w:pPr>
        <w:spacing w:before="0" w:after="0" w:line="408" w:lineRule="exact"/>
        <w:ind w:left="0" w:right="0" w:firstLine="576"/>
        <w:jc w:val="left"/>
      </w:pPr>
      <w:r>
        <w:rPr>
          <w:u w:val="single"/>
        </w:rPr>
        <w:t xml:space="preserve">(11) By December 1, 2019, and every five years thereafter, the joint legislative audit and review committee shall conduct an evaluation of the alternative process created in this section, including any improvement to participation by women and minority-owned businesses, and time and cost savings to the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413</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Termination) and 2015 3rd sp.s. c 3 s 7041 &amp; 2010 c 245 s 12;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414</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Repeal) and 2015 3rd sp.s. c 3 s 7042 &amp; 2010 c 245 s 13.</w:t>
      </w:r>
    </w:p>
    <w:p/>
    <w:p>
      <w:pPr>
        <w:jc w:val="center"/>
      </w:pPr>
      <w:r>
        <w:rPr>
          <w:b/>
        </w:rPr>
        <w:t>--- END ---</w:t>
      </w:r>
    </w:p>
    <w:sectPr>
      <w:pgNumType w:start="1"/>
      <w:footerReference xmlns:r="http://schemas.openxmlformats.org/officeDocument/2006/relationships" r:id="Rb9bb995a475b43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f3914240bf4691" /><Relationship Type="http://schemas.openxmlformats.org/officeDocument/2006/relationships/footer" Target="/word/footer.xml" Id="Rb9bb995a475b430b" /></Relationships>
</file>