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047a8c4b364414" /></Relationships>
</file>

<file path=word/document.xml><?xml version="1.0" encoding="utf-8"?>
<w:document xmlns:w="http://schemas.openxmlformats.org/wordprocessingml/2006/main">
  <w:body>
    <w:p>
      <w:r>
        <w:t>S-4207.1</w:t>
      </w:r>
    </w:p>
    <w:p>
      <w:pPr>
        <w:jc w:val="center"/>
      </w:pPr>
      <w:r>
        <w:t>_______________________________________________</w:t>
      </w:r>
    </w:p>
    <w:p/>
    <w:p>
      <w:pPr>
        <w:jc w:val="center"/>
      </w:pPr>
      <w:r>
        <w:rPr>
          <w:b/>
        </w:rPr>
        <w:t>SENATE BILL 6604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Ericksen, Schoesler, Dammeier, and Roach</w:t>
      </w:r>
    </w:p>
    <w:p/>
    <w:p>
      <w:r>
        <w:rPr>
          <w:t xml:space="preserve">Read first time 01/28/16.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limitations in respect to tax raises and fee increases by the legislature; amending RCW 43.135.034 and 43.135.055;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2015 3rd sp.s. c 44 s 421 are each amended to read as follows:</w:t>
      </w:r>
    </w:p>
    <w:p>
      <w:pPr>
        <w:spacing w:before="0" w:after="0" w:line="408" w:lineRule="exact"/>
        <w:ind w:left="0" w:right="0" w:firstLine="576"/>
        <w:jc w:val="left"/>
      </w:pPr>
      <w:r>
        <w:rPr/>
        <w:t xml:space="preserve">(1)(a) Any action or combination of actions by the legislature that raises taxes may be </w:t>
      </w:r>
      <w:r>
        <w:t>((</w:t>
      </w:r>
      <w:r>
        <w:rPr>
          <w:strike/>
        </w:rPr>
        <w:t xml:space="preserve">taken only if</w:t>
      </w:r>
      <w:r>
        <w:t>))</w:t>
      </w:r>
      <w:r>
        <w:rPr/>
        <w:t xml:space="preserve"> </w:t>
      </w:r>
      <w:r>
        <w:rPr>
          <w:u w:val="single"/>
        </w:rPr>
        <w:t xml:space="preserve">in effect for no more than one year after the effective date of such action unless</w:t>
      </w:r>
      <w:r>
        <w:rPr/>
        <w:t xml:space="preserve"> approved by a two</w:t>
      </w:r>
      <w:r>
        <w:rPr/>
        <w:noBreakHyphen/>
      </w:r>
      <w:r>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t xml:space="preserve">(b)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(2)(a) If the legislative action under subsection (1) of this section will result in expenditures in excess of the state expenditure limit, then the action of the legislature may not take effect until approved by a vote of the people at a November general election. The state expenditure limit committee must adjust the state expenditure limit by the amount of additional revenue approved by the voters under this section. This adjustment may not exceed the amount of revenue generated by the legislative action during the first full fiscal year in which it is in effect. The state expenditure limit must be adjusted downward upon expiration or repeal of the legislative action.</w:t>
      </w:r>
    </w:p>
    <w:p>
      <w:pPr>
        <w:spacing w:before="0" w:after="0" w:line="408" w:lineRule="exact"/>
        <w:ind w:left="0" w:right="0" w:firstLine="576"/>
        <w:jc w:val="left"/>
      </w:pPr>
      <w:r>
        <w:rPr/>
        <w:t xml:space="preserve">(b) The ballot title for any vote of the people required under this section must be substantially as follows:</w:t>
      </w:r>
    </w:p>
    <w:p>
      <w:pPr>
        <w:spacing w:before="120" w:after="0" w:line="408" w:lineRule="exact"/>
        <w:ind w:left="0" w:right="0" w:firstLine="576"/>
        <w:jc w:val="left"/>
      </w:pPr>
      <w:r>
        <w:rPr/>
        <w:t xml:space="preserve">"Shall taxes be imposed on . . . . . . . in order to allow a spending increase above last year's authorized spending adjusted for personal income growth?"</w:t>
      </w:r>
    </w:p>
    <w:p>
      <w:pPr>
        <w:spacing w:before="120" w:after="0" w:line="408" w:lineRule="exact"/>
        <w:ind w:left="0" w:right="0" w:firstLine="576"/>
        <w:jc w:val="left"/>
      </w:pPr>
      <w:r>
        <w:rPr/>
        <w:t xml:space="preserve">(3)(a) The state expenditure limit may be exceeded upon declaration of an emergency for a period not to exceed twenty</w:t>
      </w:r>
      <w:r>
        <w:rPr/>
        <w:noBreakHyphen/>
      </w:r>
      <w:r>
        <w:rPr/>
        <w:t xml:space="preserve">four months by a law approved by a two</w:t>
      </w:r>
      <w:r>
        <w:rPr/>
        <w:noBreakHyphen/>
      </w:r>
      <w:r>
        <w:rPr/>
        <w:t xml:space="preserve">thirds vote of each house of the legislature and signed by the governor. The law must set forth the nature of the emergency, which is limited to natural disasters that require immediate government action to alleviate human suffering and provide humanitarian assistance. The state expenditure limit may be exceeded for no more than twenty</w:t>
      </w:r>
      <w:r>
        <w:rPr/>
        <w:noBreakHyphen/>
      </w:r>
      <w:r>
        <w:rPr/>
        <w:t xml:space="preserve">four months following the declaration of the emergency and only for the purposes contained in the emergency declaration.</w:t>
      </w:r>
    </w:p>
    <w:p>
      <w:pPr>
        <w:spacing w:before="0" w:after="0" w:line="408" w:lineRule="exact"/>
        <w:ind w:left="0" w:right="0" w:firstLine="576"/>
        <w:jc w:val="left"/>
      </w:pPr>
      <w:r>
        <w:rPr/>
        <w:t xml:space="preserve">(b) Additional taxes required for an emergency under this section may be imposed only until thirty days following the next general election, unless an extension is approved at that general election. The additional taxes expire upon expiration of the declaration of emergency. The legislature may not impose additional taxes for emergency purposes under this subsection unless funds in the education construction fund have been exhausted.</w:t>
      </w:r>
    </w:p>
    <w:p>
      <w:pPr>
        <w:spacing w:before="0" w:after="0" w:line="408" w:lineRule="exact"/>
        <w:ind w:left="0" w:right="0" w:firstLine="576"/>
        <w:jc w:val="left"/>
      </w:pPr>
      <w:r>
        <w:rPr/>
        <w:t xml:space="preserve">(c) The state or any political subdivision of the state may not impose any tax on intangible property listed in RCW 84.36.070 as that statute exists on January 1, 1993.</w:t>
      </w:r>
    </w:p>
    <w:p>
      <w:pPr>
        <w:spacing w:before="0" w:after="0" w:line="408" w:lineRule="exact"/>
        <w:ind w:left="0" w:right="0" w:firstLine="576"/>
        <w:jc w:val="left"/>
      </w:pPr>
      <w:r>
        <w:rPr/>
        <w:t xml:space="preserve">(4) If the cost of any state program or function is shifted from the state general fund to another source of funding, or if moneys are transferred from the state general fund to another fund or account, the state expenditure limit committee, acting pursuant to RCW 43.135.025(5), must lower the state expenditure limit to reflect the shift. For the purposes of this section, a transfer of money from the state general fund to another fund or account includes any state legislative action taken that has the effect of reducing revenues from a particular source, where such revenues would otherwise be deposited into the state general fund, while increasing the revenues from that particular source to another state or local government account. This subsection does not apply to: (a) The dedication or use of lottery revenues under RCW 67.70.240(1)(c), in support of education or education expenditures; (b) a transfer of moneys to, or an expenditure from, the budget stabilization account; or (c) a transfer of money to, or an expenditure from, the connecting Washington account established in RCW 46.68.395.</w:t>
      </w:r>
    </w:p>
    <w:p>
      <w:pPr>
        <w:spacing w:before="0" w:after="0" w:line="408" w:lineRule="exact"/>
        <w:ind w:left="0" w:right="0" w:firstLine="576"/>
        <w:jc w:val="left"/>
      </w:pPr>
      <w:r>
        <w:rPr/>
        <w:t xml:space="preserve">(5) If the cost of any state program or function and the ongoing revenue necessary to fund the program or function are shifted to the state general fund on or after January 1, 2007, the state expenditure limit committee, acting pursuant to RCW 43.135.025(5), must increase the state expenditure limit to reflect the shift unless the shifted revenue had previously been shifted from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055</w:t>
      </w:r>
      <w:r>
        <w:rPr/>
        <w:t xml:space="preserve"> and 2013 c 1 s 4 are each amended to read as follows:</w:t>
      </w:r>
    </w:p>
    <w:p>
      <w:pPr>
        <w:spacing w:before="0" w:after="0" w:line="408" w:lineRule="exact"/>
        <w:ind w:left="0" w:right="0" w:firstLine="576"/>
        <w:jc w:val="left"/>
      </w:pPr>
      <w:r>
        <w:rPr/>
        <w:t xml:space="preserve">(1) A fee may only be imposed or increased in any fiscal year if approved with a simple majority vote in both the house of representatives and the senate and must be subject to the accountability procedures required by RCW 43.135.031. </w:t>
      </w:r>
      <w:r>
        <w:rPr>
          <w:u w:val="single"/>
        </w:rPr>
        <w:t xml:space="preserve">Legislative approval cannot occur in an omnibus appropriations act.</w:t>
      </w:r>
    </w:p>
    <w:p>
      <w:pPr>
        <w:spacing w:before="0" w:after="0" w:line="408" w:lineRule="exact"/>
        <w:ind w:left="0" w:right="0" w:firstLine="576"/>
        <w:jc w:val="left"/>
      </w:pPr>
      <w:r>
        <w:rPr/>
        <w:t xml:space="preserve">(2) This section does not apply to an assessment made by an agricultural commodity commission or board created by state statute or created under a marketing agreement or order under chapter 15.65 or 15.66 RCW, or to the forest products commission, if the assessment is approved by referendum in accordance with the provisions of the statutes creating the commission or board or chapter 15.65 or 15.66 RCW for approving such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78368544cb604f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154ed9d1134452" /><Relationship Type="http://schemas.openxmlformats.org/officeDocument/2006/relationships/footer" Target="/word/footer.xml" Id="R78368544cb604f52" /></Relationships>
</file>