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375cef910d4ece" /></Relationships>
</file>

<file path=word/document.xml><?xml version="1.0" encoding="utf-8"?>
<w:document xmlns:w="http://schemas.openxmlformats.org/wordprocessingml/2006/main">
  <w:body>
    <w:p>
      <w:r>
        <w:t>S-4155.1</w:t>
      </w:r>
    </w:p>
    <w:p>
      <w:pPr>
        <w:jc w:val="center"/>
      </w:pPr>
      <w:r>
        <w:t>_______________________________________________</w:t>
      </w:r>
    </w:p>
    <w:p/>
    <w:p>
      <w:pPr>
        <w:jc w:val="center"/>
      </w:pPr>
      <w:r>
        <w:rPr>
          <w:b/>
        </w:rPr>
        <w:t>SENATE BILL 6570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Ericksen</w:t>
      </w:r>
    </w:p>
    <w:p/>
    <w:p>
      <w:r>
        <w:rPr>
          <w:t xml:space="preserve">Read first time 01/26/16.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the expenditure of funds associated with the model toxics control act for the cleanup of toxic pollution; amending 2015 3rd sp.s. c 4 s 302 and 2015 3rd sp.s. c 3 s 3062 (uncodified); reenacting and amending RCW 70.105D.070; creating a new section; repealing 2015 3rd sp.s. c 3 ss 3055 and 3056 (uncodified);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declining global price of oil has resulted in a loss of revenues collected from the hazardous substance tax in Washington. It is the intent of the legislature to manage the decline in revenue to the state toxics control account, the local toxics control account, and the environmental legacy stewardship account by setting a policy that prioritizes cleanup of toxic sites, as they are a key driver of economic activity and community revitalization. The legislature finds that to achieve this policy, it is necessary to postpone the award of other projects, including grants and loans for controlling storm water pollution and grants for public participation grants. It is the further intent of the legislature that the award of grants and loans to lesser priority programs shall resume upon the restoration of revenue to the state toxics control account, the local toxics control account, and the environmental legacy stewardship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$24,694,000</w:t>
      </w:r>
      <w:r>
        <w:t>))</w:t>
      </w:r>
    </w:p>
    <w:p>
      <w:pPr>
        <w:spacing w:before="0" w:after="0" w:line="408" w:lineRule="exact"/>
        <w:ind w:left="0" w:right="0" w:firstLine="0"/>
        <w:jc w:val="left"/>
        <w:tabs>
          <w:tab w:val="right" w:leader="none" w:pos="9936"/>
        </w:tabs>
      </w:pPr>
      <w:r>
        <w:tab/>
      </w:r>
      <w:r>
        <w:rPr>
          <w:u w:val="single"/>
        </w:rPr>
        <w:t xml:space="preserve">$24,693,000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$24,795,000</w:t>
      </w:r>
      <w:r>
        <w:t>))</w:t>
      </w:r>
    </w:p>
    <w:p>
      <w:pPr>
        <w:spacing w:before="0" w:after="0" w:line="408" w:lineRule="exact"/>
        <w:ind w:left="0" w:right="0" w:firstLine="0"/>
        <w:jc w:val="left"/>
        <w:tabs>
          <w:tab w:val="right" w:leader="none" w:pos="9936"/>
        </w:tabs>
      </w:pPr>
      <w:r>
        <w:tab/>
      </w:r>
      <w:r>
        <w:rPr>
          <w:u w:val="single"/>
        </w:rPr>
        <w:t xml:space="preserve">$24,771,000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$3,926,000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$2,068,000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$13,163,000</w:t>
      </w:r>
      <w:r>
        <w:t>))</w:t>
      </w:r>
    </w:p>
    <w:p>
      <w:pPr>
        <w:spacing w:before="0" w:after="0" w:line="408" w:lineRule="exact"/>
        <w:ind w:left="0" w:right="0" w:firstLine="0"/>
        <w:jc w:val="left"/>
        <w:tabs>
          <w:tab w:val="right" w:leader="none" w:pos="9936"/>
        </w:tabs>
      </w:pPr>
      <w:r>
        <w:tab/>
      </w:r>
      <w:r>
        <w:rPr>
          <w:u w:val="single"/>
        </w:rPr>
        <w:t xml:space="preserve">$13,173,000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$447,000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$132,643,000</w:t>
      </w:r>
      <w:r>
        <w:t>))</w:t>
      </w:r>
    </w:p>
    <w:p>
      <w:pPr>
        <w:spacing w:before="0" w:after="0" w:line="408" w:lineRule="exact"/>
        <w:ind w:left="0" w:right="0" w:firstLine="0"/>
        <w:jc w:val="left"/>
        <w:tabs>
          <w:tab w:val="right" w:leader="none" w:pos="9936"/>
        </w:tabs>
      </w:pPr>
      <w:r>
        <w:tab/>
      </w:r>
      <w:r>
        <w:rPr>
          <w:u w:val="single"/>
        </w:rPr>
        <w:t xml:space="preserve">$113,729,000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$3,428,000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$41,644,000</w:t>
      </w:r>
      <w:r>
        <w:t>))</w:t>
      </w:r>
    </w:p>
    <w:p>
      <w:pPr>
        <w:spacing w:before="0" w:after="0" w:line="408" w:lineRule="exact"/>
        <w:ind w:left="0" w:right="0" w:firstLine="0"/>
        <w:jc w:val="left"/>
        <w:tabs>
          <w:tab w:val="right" w:leader="none" w:pos="9936"/>
        </w:tabs>
      </w:pPr>
      <w:r>
        <w:tab/>
      </w:r>
      <w:r>
        <w:rPr>
          <w:u w:val="single"/>
        </w:rPr>
        <w:t xml:space="preserve">$44,101,000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$3,544,000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$44,295,000</w:t>
      </w:r>
      <w:r>
        <w:t>))</w:t>
      </w:r>
    </w:p>
    <w:p>
      <w:pPr>
        <w:spacing w:before="0" w:after="0" w:line="408" w:lineRule="exact"/>
        <w:ind w:left="0" w:right="0" w:firstLine="0"/>
        <w:jc w:val="left"/>
        <w:tabs>
          <w:tab w:val="right" w:leader="none" w:pos="9936"/>
        </w:tabs>
      </w:pPr>
      <w:r>
        <w:tab/>
      </w:r>
      <w:r>
        <w:rPr>
          <w:u w:val="single"/>
        </w:rPr>
        <w:t xml:space="preserve">$36,432,000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$6,029,000</w:t>
      </w:r>
      <w:r>
        <w:t>))</w:t>
      </w:r>
    </w:p>
    <w:p>
      <w:pPr>
        <w:spacing w:before="0" w:after="0" w:line="408" w:lineRule="exact"/>
        <w:ind w:left="0" w:right="0" w:firstLine="0"/>
        <w:jc w:val="left"/>
        <w:tabs>
          <w:tab w:val="right" w:leader="none" w:pos="9936"/>
        </w:tabs>
      </w:pPr>
      <w:r>
        <w:tab/>
      </w:r>
      <w:r>
        <w:rPr>
          <w:u w:val="single"/>
        </w:rPr>
        <w:t xml:space="preserve">$6,040,000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$14,900,000</w:t>
      </w:r>
      <w:r>
        <w:t>))</w:t>
      </w:r>
    </w:p>
    <w:p>
      <w:pPr>
        <w:spacing w:before="0" w:after="0" w:line="408" w:lineRule="exact"/>
        <w:ind w:left="0" w:right="0" w:firstLine="0"/>
        <w:jc w:val="left"/>
        <w:tabs>
          <w:tab w:val="right" w:leader="none" w:pos="9936"/>
        </w:tabs>
      </w:pPr>
      <w:r>
        <w:tab/>
      </w:r>
      <w:r>
        <w:rPr>
          <w:u w:val="single"/>
        </w:rPr>
        <w:t xml:space="preserve">$15,753,000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$3,284,000</w:t>
      </w:r>
      <w:r>
        <w:t>))</w:t>
      </w:r>
    </w:p>
    <w:p>
      <w:pPr>
        <w:spacing w:before="0" w:after="0" w:line="408" w:lineRule="exact"/>
        <w:ind w:left="0" w:right="0" w:firstLine="0"/>
        <w:jc w:val="left"/>
        <w:tabs>
          <w:tab w:val="right" w:leader="none" w:pos="9936"/>
        </w:tabs>
      </w:pPr>
      <w:r>
        <w:tab/>
      </w:r>
      <w:r>
        <w:rPr>
          <w:u w:val="single"/>
        </w:rPr>
        <w:t xml:space="preserve">$3,984,000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$8,594,000</w:t>
      </w:r>
      <w:r>
        <w:t>))</w:t>
      </w:r>
    </w:p>
    <w:p>
      <w:pPr>
        <w:spacing w:before="0" w:after="0" w:line="408" w:lineRule="exact"/>
        <w:ind w:left="0" w:right="0" w:firstLine="0"/>
        <w:jc w:val="left"/>
        <w:tabs>
          <w:tab w:val="right" w:leader="none" w:pos="9936"/>
        </w:tabs>
      </w:pPr>
      <w:r>
        <w:tab/>
      </w:r>
      <w:r>
        <w:rPr>
          <w:u w:val="single"/>
        </w:rPr>
        <w:t xml:space="preserve">$8,605,000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$3,231,000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$2,337,000</w:t>
      </w:r>
    </w:p>
    <w:p>
      <w:pPr>
        <w:tabs>
          <w:tab w:val="right" w:leader="dot" w:pos="9936"/>
        </w:tabs>
        <w:ind w:left="0" w:right="0" w:firstLine="1440"/>
      </w:pPr>
      <w:r>
        <w:rPr/>
        <w:t xml:space="preserve">TOTAL APPROPRIATION</w:t>
      </w:r>
      <w:r>
        <w:tab/>
      </w:r>
      <w:r>
        <w:rPr>
          <w:strike/>
        </w:rPr>
        <w:t xml:space="preserve">$476,376,000</w:t>
      </w:r>
    </w:p>
    <w:p>
      <w:pPr>
        <w:spacing w:before="0" w:after="0" w:line="408" w:lineRule="exact"/>
        <w:ind w:left="0" w:right="0" w:firstLine="0"/>
        <w:jc w:val="left"/>
        <w:tabs>
          <w:tab w:val="right" w:leader="none" w:pos="9936"/>
        </w:tabs>
      </w:pPr>
      <w:r>
        <w:tab/>
      </w:r>
      <w:r>
        <w:rPr>
          <w:u w:val="single"/>
        </w:rPr>
        <w:t xml:space="preserve">$452,416,000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w:t>
      </w:r>
      <w:r>
        <w:rPr>
          <w:rFonts w:ascii="Times New Roman" w:hAnsi="Times New Roman"/>
        </w:rPr>
        <w:t xml:space="preserve">—</w:t>
      </w:r>
      <w:r>
        <w:rPr/>
        <w:t xml:space="preserve">state appropriation and $625,000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w:t>
      </w:r>
      <w:r>
        <w:rPr>
          <w:rFonts w:ascii="Times New Roman" w:hAnsi="Times New Roman"/>
        </w:rPr>
        <w:t xml:space="preserve">—</w:t>
      </w:r>
      <w:r>
        <w:rPr/>
        <w:t xml:space="preserve">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w:t>
      </w:r>
      <w:r>
        <w:rPr>
          <w:rFonts w:ascii="Times New Roman" w:hAnsi="Times New Roman"/>
        </w:rPr>
        <w:t xml:space="preserve">—</w:t>
      </w:r>
      <w:r>
        <w:rPr/>
        <w:t xml:space="preserve">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3062 (uncodified) is amended to read as follows: </w:t>
      </w:r>
    </w:p>
    <w:p>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the storm water financial assistance program.</w:t>
      </w:r>
    </w:p>
    <w:p>
      <w:pPr>
        <w:spacing w:before="0" w:after="0" w:line="408" w:lineRule="exact"/>
        <w:ind w:left="0" w:right="0" w:firstLine="576"/>
        <w:jc w:val="left"/>
      </w:pPr>
      <w:r>
        <w:rPr/>
        <w:t xml:space="preserve">(2) $981,000 of the appropriation is provided solely for the Washington State University LID frontage - water quality project.</w:t>
      </w:r>
    </w:p>
    <w:p>
      <w:pPr>
        <w:spacing w:before="0" w:after="0" w:line="408" w:lineRule="exact"/>
        <w:ind w:left="0" w:right="0" w:firstLine="576"/>
        <w:jc w:val="left"/>
        <w:tabs>
          <w:tab w:val="right" w:leader="dot" w:pos="9936"/>
        </w:tabs>
      </w:pPr>
      <w:r>
        <w:t>((</w:t>
      </w:r>
      <w:r>
        <w:rPr>
          <w:strike/>
        </w:rPr>
        <w:t xml:space="preserve">Local Toxics Control Account</w:t>
      </w:r>
      <w:r>
        <w:rPr>
          <w:rFonts w:ascii="Times New Roman" w:hAnsi="Times New Roman"/>
          <w:strike/>
        </w:rPr>
        <w:t xml:space="preserve">—</w:t>
      </w:r>
      <w:r>
        <w:rPr>
          <w:strike/>
        </w:rPr>
        <w:t xml:space="preserve">State</w:t>
      </w:r>
      <w:r>
        <w:tab/>
      </w:r>
      <w:r>
        <w:rPr>
          <w:strike/>
        </w:rPr>
        <w:t xml:space="preserve">$33,000,000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t>((</w:t>
      </w:r>
      <w:r>
        <w:rPr>
          <w:strike/>
        </w:rPr>
        <w:t xml:space="preserve">$53,000,000</w:t>
      </w:r>
      <w:r>
        <w:t>))</w:t>
      </w:r>
    </w:p>
    <w:p>
      <w:pPr>
        <w:spacing w:before="0" w:after="0" w:line="408" w:lineRule="exact"/>
        <w:ind w:left="0" w:right="0" w:firstLine="0"/>
        <w:jc w:val="left"/>
        <w:tabs>
          <w:tab w:val="right" w:leader="none" w:pos="9936"/>
        </w:tabs>
      </w:pPr>
      <w:r>
        <w:tab/>
      </w:r>
      <w:r>
        <w:rPr>
          <w:u w:val="single"/>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strike/>
        </w:rPr>
        <w:t xml:space="preserve">$333,000,000</w:t>
      </w:r>
    </w:p>
    <w:p>
      <w:pPr>
        <w:spacing w:before="0" w:after="0" w:line="408" w:lineRule="exact"/>
        <w:ind w:left="0" w:right="0" w:firstLine="0"/>
        <w:jc w:val="left"/>
        <w:tabs>
          <w:tab w:val="right" w:leader="none" w:pos="9936"/>
        </w:tabs>
      </w:pPr>
      <w:r>
        <w:tab/>
      </w:r>
      <w:r>
        <w:rPr>
          <w:u w:val="single"/>
        </w:rPr>
        <w:t xml:space="preserve">$300,000,000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2015 3rd sp.s. c 4 s 969 and 2015 3rd sp.s. c 3 s 7035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and 2015-2017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fiscal biennium,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fiscal biennium,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w:t>
      </w:r>
      <w:r>
        <w:t>((</w:t>
      </w:r>
      <w:r>
        <w:rPr>
          <w:strike/>
        </w:rPr>
        <w:t xml:space="preserve">2011-2013</w:t>
      </w:r>
      <w:r>
        <w:t>))</w:t>
      </w:r>
      <w:r>
        <w:rPr/>
        <w:t xml:space="preserve"> </w:t>
      </w:r>
      <w:r>
        <w:rPr>
          <w:u w:val="single"/>
        </w:rPr>
        <w:t xml:space="preserve">2015-2017</w:t>
      </w:r>
      <w:r>
        <w:rPr/>
        <w:t xml:space="preserve">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3rd sp.s. c 3 s 3055</w:t>
      </w:r>
      <w:r>
        <w:rPr/>
        <w:t xml:space="preserve"> (uncodified) (Department of Ecology - Reducing Toxic Diesel Emissions 30000428); and</w:t>
      </w:r>
    </w:p>
    <w:p>
      <w:pPr>
        <w:spacing w:before="0" w:after="0" w:line="408" w:lineRule="exact"/>
        <w:ind w:left="0" w:right="0" w:firstLine="576"/>
        <w:jc w:val="left"/>
      </w:pPr>
      <w:r>
        <w:t>(2)</w:t>
      </w:r>
      <w:r>
        <w:rPr/>
        <w:t xml:space="preserve">2015 3rd sp.s. c 3 s 3056</w:t>
      </w:r>
      <w:r>
        <w:rPr/>
        <w:t xml:space="preserve"> (uncodified) (Department of Ecology - Reducing Toxic Woodstove Emissions 30000429).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06f39fcb76544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b492c13a48461f" /><Relationship Type="http://schemas.openxmlformats.org/officeDocument/2006/relationships/footer" Target="/word/footer.xml" Id="Rc06f39fcb765443b" /></Relationships>
</file>