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7cf9d6ab904ce7" /></Relationships>
</file>

<file path=word/document.xml><?xml version="1.0" encoding="utf-8"?>
<w:document xmlns:w="http://schemas.openxmlformats.org/wordprocessingml/2006/main">
  <w:body>
    <w:p>
      <w:r>
        <w:t>S-4369.1</w:t>
      </w:r>
    </w:p>
    <w:p>
      <w:pPr>
        <w:jc w:val="center"/>
      </w:pPr>
      <w:r>
        <w:t>_______________________________________________</w:t>
      </w:r>
    </w:p>
    <w:p/>
    <w:p>
      <w:pPr>
        <w:jc w:val="center"/>
      </w:pPr>
      <w:r>
        <w:rPr>
          <w:b/>
        </w:rPr>
        <w:t>SUBSTITUTE SENATE BILL 6570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Energy, Environment &amp; Telecommunications (originally sponsored by Senator Ericksen)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prioritizing the expenditure of funds associated with the model toxics control act for the cleanup of toxic pollution; amending 2015 3rd sp.s. c 4 s 302 and 2015 3rd sp.s. c 3 ss 3062, 3055, and 3056 (uncodified); reenacting and amending RCW 70.105D.070;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declining global price of oil has resulted in a loss of revenues collected from the hazardous substance tax in Washington. It is the intent of the legislature to manage the decline in revenue to the state toxics control account, the local toxics control account, and the environmental legacy stewardship account by setting a policy that prioritizes cleanup of toxic sites, as they are a key driver of economic activity and community revitalization. The legislature finds that to achieve this policy, it is necessary to postpone the award of other projects, including grants and loans for managing storm water pollution and grants for public participation grants. It is the further intent of the legislature that the award of grants and loans to lesser priority programs shall resume upon the restoration of revenue to the state toxics control account, the local toxics control account, and the environmental legacy stewardship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302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$24,694,000</w:t>
      </w:r>
      <w:r>
        <w:t>))</w:t>
      </w:r>
    </w:p>
    <w:p>
      <w:pPr>
        <w:spacing w:before="0" w:after="0" w:line="408" w:lineRule="exact"/>
        <w:ind w:left="0" w:right="0" w:firstLine="0"/>
        <w:jc w:val="left"/>
        <w:tabs>
          <w:tab w:val="right" w:leader="none" w:pos="9936"/>
        </w:tabs>
      </w:pPr>
      <w:r>
        <w:tab/>
      </w:r>
      <w:r>
        <w:rPr>
          <w:u w:val="single"/>
        </w:rPr>
        <w:t xml:space="preserve">$24,693,000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$24,795,000</w:t>
      </w:r>
      <w:r>
        <w:t>))</w:t>
      </w:r>
    </w:p>
    <w:p>
      <w:pPr>
        <w:spacing w:before="0" w:after="0" w:line="408" w:lineRule="exact"/>
        <w:ind w:left="0" w:right="0" w:firstLine="0"/>
        <w:jc w:val="left"/>
        <w:tabs>
          <w:tab w:val="right" w:leader="none" w:pos="9936"/>
        </w:tabs>
      </w:pPr>
      <w:r>
        <w:tab/>
      </w:r>
      <w:r>
        <w:rPr>
          <w:u w:val="single"/>
        </w:rPr>
        <w:t xml:space="preserve">$24,771,000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$103,800,000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$22,398,000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$3,926,000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$2,068,000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$13,163,000</w:t>
      </w:r>
      <w:r>
        <w:t>))</w:t>
      </w:r>
    </w:p>
    <w:p>
      <w:pPr>
        <w:spacing w:before="0" w:after="0" w:line="408" w:lineRule="exact"/>
        <w:ind w:left="0" w:right="0" w:firstLine="0"/>
        <w:jc w:val="left"/>
        <w:tabs>
          <w:tab w:val="right" w:leader="none" w:pos="9936"/>
        </w:tabs>
      </w:pPr>
      <w:r>
        <w:tab/>
      </w:r>
      <w:r>
        <w:rPr>
          <w:u w:val="single"/>
        </w:rPr>
        <w:t xml:space="preserve">$13,173,000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$447,000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$578,000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$547,000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$1,790,000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$132,643,000</w:t>
      </w:r>
      <w:r>
        <w:t>))</w:t>
      </w:r>
    </w:p>
    <w:p>
      <w:pPr>
        <w:spacing w:before="0" w:after="0" w:line="408" w:lineRule="exact"/>
        <w:ind w:left="0" w:right="0" w:firstLine="0"/>
        <w:jc w:val="left"/>
        <w:tabs>
          <w:tab w:val="right" w:leader="none" w:pos="9936"/>
        </w:tabs>
      </w:pPr>
      <w:r>
        <w:tab/>
      </w:r>
      <w:r>
        <w:rPr>
          <w:u w:val="single"/>
        </w:rPr>
        <w:t xml:space="preserve">$117,073,000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t>((</w:t>
      </w:r>
      <w:r>
        <w:rPr>
          <w:strike/>
        </w:rPr>
        <w:t xml:space="preserve">$4,628,000</w:t>
      </w:r>
      <w:r>
        <w:t>))</w:t>
      </w:r>
    </w:p>
    <w:p>
      <w:pPr>
        <w:spacing w:before="0" w:after="0" w:line="408" w:lineRule="exact"/>
        <w:ind w:left="0" w:right="0" w:firstLine="0"/>
        <w:jc w:val="left"/>
        <w:tabs>
          <w:tab w:val="right" w:leader="none" w:pos="9936"/>
        </w:tabs>
      </w:pPr>
      <w:r>
        <w:tab/>
      </w:r>
      <w:r>
        <w:rPr>
          <w:u w:val="single"/>
        </w:rPr>
        <w:t xml:space="preserve">$3,342,000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$41,644,000</w:t>
      </w:r>
      <w:r>
        <w:t>))</w:t>
      </w:r>
    </w:p>
    <w:p>
      <w:pPr>
        <w:spacing w:before="0" w:after="0" w:line="408" w:lineRule="exact"/>
        <w:ind w:left="0" w:right="0" w:firstLine="0"/>
        <w:jc w:val="left"/>
        <w:tabs>
          <w:tab w:val="right" w:leader="none" w:pos="9936"/>
        </w:tabs>
      </w:pPr>
      <w:r>
        <w:tab/>
      </w:r>
      <w:r>
        <w:rPr>
          <w:u w:val="single"/>
        </w:rPr>
        <w:t xml:space="preserve">$44,101,000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$3,544,000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$2,108,000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$44,295,000</w:t>
      </w:r>
      <w:r>
        <w:t>))</w:t>
      </w:r>
    </w:p>
    <w:p>
      <w:pPr>
        <w:spacing w:before="0" w:after="0" w:line="408" w:lineRule="exact"/>
        <w:ind w:left="0" w:right="0" w:firstLine="0"/>
        <w:jc w:val="left"/>
        <w:tabs>
          <w:tab w:val="right" w:leader="none" w:pos="9936"/>
        </w:tabs>
      </w:pPr>
      <w:r>
        <w:tab/>
      </w:r>
      <w:r>
        <w:rPr>
          <w:u w:val="single"/>
        </w:rPr>
        <w:t xml:space="preserve">$34,374,000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$6,029,000</w:t>
      </w:r>
      <w:r>
        <w:t>))</w:t>
      </w:r>
    </w:p>
    <w:p>
      <w:pPr>
        <w:spacing w:before="0" w:after="0" w:line="408" w:lineRule="exact"/>
        <w:ind w:left="0" w:right="0" w:firstLine="0"/>
        <w:jc w:val="left"/>
        <w:tabs>
          <w:tab w:val="right" w:leader="none" w:pos="9936"/>
        </w:tabs>
      </w:pPr>
      <w:r>
        <w:tab/>
      </w:r>
      <w:r>
        <w:rPr>
          <w:u w:val="single"/>
        </w:rPr>
        <w:t xml:space="preserve">$6,040,000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t>((</w:t>
      </w:r>
      <w:r>
        <w:rPr>
          <w:strike/>
        </w:rPr>
        <w:t xml:space="preserve">$14,900,000</w:t>
      </w:r>
      <w:r>
        <w:t>))</w:t>
      </w:r>
    </w:p>
    <w:p>
      <w:pPr>
        <w:spacing w:before="0" w:after="0" w:line="408" w:lineRule="exact"/>
        <w:ind w:left="0" w:right="0" w:firstLine="0"/>
        <w:jc w:val="left"/>
        <w:tabs>
          <w:tab w:val="right" w:leader="none" w:pos="9936"/>
        </w:tabs>
      </w:pPr>
      <w:r>
        <w:tab/>
      </w:r>
      <w:r>
        <w:rPr>
          <w:u w:val="single"/>
        </w:rPr>
        <w:t xml:space="preserve">$15,753,000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$3,284,000</w:t>
      </w:r>
      <w:r>
        <w:t>))</w:t>
      </w:r>
    </w:p>
    <w:p>
      <w:pPr>
        <w:spacing w:before="0" w:after="0" w:line="408" w:lineRule="exact"/>
        <w:ind w:left="0" w:right="0" w:firstLine="0"/>
        <w:jc w:val="left"/>
        <w:tabs>
          <w:tab w:val="right" w:leader="none" w:pos="9936"/>
        </w:tabs>
      </w:pPr>
      <w:r>
        <w:tab/>
      </w:r>
      <w:r>
        <w:rPr>
          <w:u w:val="single"/>
        </w:rPr>
        <w:t xml:space="preserve">$3,984,000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$8,594,000</w:t>
      </w:r>
      <w:r>
        <w:t>))</w:t>
      </w:r>
    </w:p>
    <w:p>
      <w:pPr>
        <w:spacing w:before="0" w:after="0" w:line="408" w:lineRule="exact"/>
        <w:ind w:left="0" w:right="0" w:firstLine="0"/>
        <w:jc w:val="left"/>
        <w:tabs>
          <w:tab w:val="right" w:leader="none" w:pos="9936"/>
        </w:tabs>
      </w:pPr>
      <w:r>
        <w:tab/>
      </w:r>
      <w:r>
        <w:rPr>
          <w:u w:val="single"/>
        </w:rPr>
        <w:t xml:space="preserve">$8,605,000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$3,231,000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$1,439,000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$579,000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$493,000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$2,337,000</w:t>
      </w:r>
    </w:p>
    <w:p>
      <w:pPr>
        <w:tabs>
          <w:tab w:val="right" w:leader="dot" w:pos="9936"/>
        </w:tabs>
        <w:ind w:left="0" w:right="0" w:firstLine="1440"/>
      </w:pPr>
      <w:r>
        <w:rPr/>
        <w:t xml:space="preserve">TOTAL APPROPRIATION</w:t>
      </w:r>
      <w:r>
        <w:tab/>
      </w:r>
      <w:r>
        <w:rPr>
          <w:strike/>
        </w:rPr>
        <w:t xml:space="preserve">$476,376,000</w:t>
      </w:r>
    </w:p>
    <w:p>
      <w:pPr>
        <w:spacing w:before="0" w:after="0" w:line="408" w:lineRule="exact"/>
        <w:ind w:left="0" w:right="0" w:firstLine="0"/>
        <w:jc w:val="left"/>
        <w:tabs>
          <w:tab w:val="right" w:leader="none" w:pos="9936"/>
        </w:tabs>
      </w:pPr>
      <w:r>
        <w:tab/>
      </w:r>
      <w:r>
        <w:rPr>
          <w:u w:val="single"/>
        </w:rPr>
        <w:t xml:space="preserve">$453,616,000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$495,000 of the state toxics control account</w:t>
      </w:r>
      <w:r>
        <w:rPr>
          <w:rFonts w:ascii="Times New Roman" w:hAnsi="Times New Roman"/>
        </w:rPr>
        <w:t xml:space="preserve">—</w:t>
      </w:r>
      <w:r>
        <w:rPr/>
        <w:t xml:space="preserve">state appropriation and $625,000 of the local toxics control account</w:t>
      </w:r>
      <w:r>
        <w:rPr>
          <w:rFonts w:ascii="Times New Roman" w:hAnsi="Times New Roman"/>
        </w:rPr>
        <w:t xml:space="preserve">—</w:t>
      </w:r>
      <w:r>
        <w:rPr/>
        <w:t xml:space="preserve">state appropriation is provided solely for the expansion of the local source control program by adding additional capacity in the Columbia River basin and Clark county.</w:t>
      </w:r>
    </w:p>
    <w:p>
      <w:pPr>
        <w:spacing w:before="0" w:after="0" w:line="408" w:lineRule="exact"/>
        <w:ind w:left="0" w:right="0" w:firstLine="576"/>
        <w:jc w:val="left"/>
      </w:pPr>
      <w:r>
        <w:rPr/>
        <w:t xml:space="preserve">(3) $310,000 of the state toxics control account</w:t>
      </w:r>
      <w:r>
        <w:rPr>
          <w:rFonts w:ascii="Times New Roman" w:hAnsi="Times New Roman"/>
        </w:rPr>
        <w:t xml:space="preserve">—</w:t>
      </w:r>
      <w:r>
        <w:rPr/>
        <w:t xml:space="preserve">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(4) Within the amounts appropriated in this section, the department shall conduct a stakeholder process with the department of fish and wildlife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(5) $1,044,000 of the oil spill prevention account</w:t>
      </w:r>
      <w:r>
        <w:rPr>
          <w:rFonts w:ascii="Times New Roman" w:hAnsi="Times New Roman"/>
        </w:rPr>
        <w:t xml:space="preserve">—</w:t>
      </w:r>
      <w:r>
        <w:rPr/>
        <w:t xml:space="preserve">state appropriation is provided solely for the implementation of chapter 274, Laws of 2015 (ESHB 1449).</w:t>
      </w:r>
    </w:p>
    <w:p>
      <w:pPr>
        <w:spacing w:before="0" w:after="0" w:line="408" w:lineRule="exact"/>
        <w:ind w:left="0" w:right="0" w:firstLine="576"/>
        <w:jc w:val="left"/>
      </w:pPr>
      <w:r>
        <w:rPr/>
        <w:t xml:space="preserve">(6) $3,883,000 of the state toxics control account</w:t>
      </w:r>
      <w:r>
        <w:rPr>
          <w:rFonts w:ascii="Times New Roman" w:hAnsi="Times New Roman"/>
        </w:rPr>
        <w:t xml:space="preserve">—</w:t>
      </w:r>
      <w:r>
        <w:rPr/>
        <w:t xml:space="preserve">state appropriation is provided solely for the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(7) $134,000 of the general fund</w:t>
      </w:r>
      <w:r>
        <w:rPr>
          <w:rFonts w:ascii="Times New Roman" w:hAnsi="Times New Roman"/>
        </w:rPr>
        <w:t xml:space="preserve">—</w:t>
      </w:r>
      <w:r>
        <w:rPr/>
        <w:t xml:space="preserve">state appropriation for fiscal year 2016 is provided solely for implementation of chapter 144, Laws of 2015 (SHB 1851).</w:t>
      </w:r>
    </w:p>
    <w:p>
      <w:pPr>
        <w:spacing w:before="0" w:after="0" w:line="408" w:lineRule="exact"/>
        <w:ind w:left="0" w:right="0" w:firstLine="576"/>
        <w:jc w:val="left"/>
      </w:pPr>
      <w:r>
        <w:rPr/>
        <w:t xml:space="preserve">(8)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the Walla Walla watershed management partnership to address water resource and management issues in the Walla Walla watershed.</w:t>
      </w:r>
    </w:p>
    <w:p>
      <w:pPr>
        <w:spacing w:before="0" w:after="0" w:line="408" w:lineRule="exact"/>
        <w:ind w:left="0" w:right="0" w:firstLine="576"/>
        <w:jc w:val="left"/>
      </w:pPr>
      <w:r>
        <w:rPr/>
        <w:t xml:space="preserve">(9)(a) $14,000,000 of the general fund</w:t>
      </w:r>
      <w:r>
        <w:rPr>
          <w:rFonts w:ascii="Times New Roman" w:hAnsi="Times New Roman"/>
        </w:rPr>
        <w:t xml:space="preserve">—</w:t>
      </w:r>
      <w:r>
        <w:rPr/>
        <w:t xml:space="preserve">state appropriation for fiscal year 2016 and $14,000,000 of the general fund</w:t>
      </w:r>
      <w:r>
        <w:rPr>
          <w:rFonts w:ascii="Times New Roman" w:hAnsi="Times New Roman"/>
        </w:rPr>
        <w:t xml:space="preserve">—</w:t>
      </w:r>
      <w:r>
        <w:rPr/>
        <w:t xml:space="preserve">state appropriation for fiscal year 2017 are for activities within the water resources program.</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state appropriation for fiscal year 2017 is provided solely for processing water right permit applications only if the department of ecology issues at least five hundred water right decisions in fiscal year 2016. If the department of ecology does not issue at least five hundred water right decisions in fiscal year 2016,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2016, that documents whether five hundred water right decisions were issued in fiscal year 2016.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rPr/>
        <w:t xml:space="preserve">(10) Within the amounts appropriated in this section, the department must evaluate mitigation options for domestic water use in areas of the Yakima basin for which mitigation water is unavailable and access to water from water banks is unsuitable. The department must recommend solutions for providing mitigation water for domestic use in such areas. A report of the department's findings must be provided to the legislature by December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3062 (uncodified) is amended to read as follows: </w:t>
      </w:r>
    </w:p>
    <w:p>
      <w:r>
        <w:rPr>
          <w:b/>
        </w:rPr>
        <w:t xml:space="preserve">FOR THE DEPARTMENT OF ECOLOGY</w:t>
      </w:r>
    </w:p>
    <w:p>
      <w:pPr>
        <w:spacing w:before="0" w:after="0" w:line="408" w:lineRule="exact"/>
        <w:ind w:left="0" w:right="0" w:firstLine="576"/>
        <w:jc w:val="left"/>
      </w:pPr>
      <w:r>
        <w:rPr/>
        <w:t xml:space="preserve">Storm Water Financial Assistance Program (30000535)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the storm water financial assistance program.</w:t>
      </w:r>
    </w:p>
    <w:p>
      <w:pPr>
        <w:spacing w:before="0" w:after="0" w:line="408" w:lineRule="exact"/>
        <w:ind w:left="0" w:right="0" w:firstLine="576"/>
        <w:jc w:val="left"/>
      </w:pPr>
      <w:r>
        <w:rPr/>
        <w:t xml:space="preserve">(2) $981,000 of the appropriation is provided solely for the Washington State University LID frontage - water quality project.</w:t>
      </w:r>
    </w:p>
    <w:p>
      <w:pPr>
        <w:spacing w:before="0" w:after="0" w:line="408" w:lineRule="exact"/>
        <w:ind w:left="0" w:right="0" w:firstLine="576"/>
        <w:jc w:val="left"/>
        <w:tabs>
          <w:tab w:val="right" w:leader="dot" w:pos="9936"/>
        </w:tabs>
      </w:pPr>
      <w:r>
        <w:t>((</w:t>
      </w:r>
      <w:r>
        <w:rPr>
          <w:strike/>
        </w:rPr>
        <w:t xml:space="preserve">Local Toxics Control Account</w:t>
      </w:r>
      <w:r>
        <w:rPr>
          <w:rFonts w:ascii="Times New Roman" w:hAnsi="Times New Roman"/>
          <w:strike/>
        </w:rPr>
        <w:t xml:space="preserve">—</w:t>
      </w:r>
      <w:r>
        <w:rPr>
          <w:strike/>
        </w:rPr>
        <w:t xml:space="preserve">State</w:t>
      </w:r>
      <w:r>
        <w:tab/>
      </w:r>
      <w:r>
        <w:rPr>
          <w:strike/>
        </w:rPr>
        <w:t xml:space="preserve">$33,000,000</w:t>
      </w:r>
      <w:r>
        <w: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tabs>
          <w:tab w:val="right" w:leader="dot" w:pos="9936"/>
        </w:tabs>
        <w:ind w:left="0" w:right="0" w:firstLine="1440"/>
      </w:pPr>
      <w:r>
        <w:rPr/>
        <w:t xml:space="preserve">Subtotal Appropriation</w:t>
      </w:r>
      <w:r>
        <w:tab/>
      </w:r>
      <w:r>
        <w:t>((</w:t>
      </w:r>
      <w:r>
        <w:rPr>
          <w:strike/>
        </w:rPr>
        <w:t xml:space="preserve">$53,000,000</w:t>
      </w:r>
      <w:r>
        <w:t>))</w:t>
      </w:r>
    </w:p>
    <w:p>
      <w:pPr>
        <w:spacing w:before="0" w:after="0" w:line="408" w:lineRule="exact"/>
        <w:ind w:left="0" w:right="0" w:firstLine="0"/>
        <w:jc w:val="left"/>
        <w:tabs>
          <w:tab w:val="right" w:leader="none" w:pos="9936"/>
        </w:tabs>
      </w:pPr>
      <w:r>
        <w:tab/>
      </w:r>
      <w:r>
        <w:rPr>
          <w:u w:val="single"/>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strike/>
        </w:rPr>
        <w:t xml:space="preserve">$333,000,000</w:t>
      </w:r>
    </w:p>
    <w:p>
      <w:pPr>
        <w:spacing w:before="0" w:after="0" w:line="408" w:lineRule="exact"/>
        <w:ind w:left="0" w:right="0" w:firstLine="0"/>
        <w:jc w:val="left"/>
        <w:tabs>
          <w:tab w:val="right" w:leader="none" w:pos="9936"/>
        </w:tabs>
      </w:pPr>
      <w:r>
        <w:tab/>
      </w:r>
      <w:r>
        <w:rPr>
          <w:u w:val="single"/>
        </w:rPr>
        <w:t xml:space="preserve">$300,000,000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2015 3rd sp.s. c 4 s 969 and 2015 3rd sp.s. c 3 s 7035 are each reenacted and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2013-2015 and 2015-2017 fiscal biennia,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w:t>
      </w:r>
    </w:p>
    <w:p>
      <w:pPr>
        <w:spacing w:before="0" w:after="0" w:line="408" w:lineRule="exact"/>
        <w:ind w:left="0" w:right="0" w:firstLine="576"/>
        <w:jc w:val="left"/>
      </w:pPr>
      <w:r>
        <w:rPr/>
        <w:t xml:space="preserve">(v) During the 2013-2015 and 2015-2017 fiscal biennia, actions at the University of Washington for reducing ocean acidification;</w:t>
      </w:r>
    </w:p>
    <w:p>
      <w:pPr>
        <w:spacing w:before="0" w:after="0" w:line="408" w:lineRule="exact"/>
        <w:ind w:left="0" w:right="0" w:firstLine="576"/>
        <w:jc w:val="left"/>
      </w:pPr>
      <w:r>
        <w:rPr/>
        <w:t xml:space="preserve">(w) During the 2015-2017 fiscal biennium, for the University of Washington Tacoma soil remediation project;</w:t>
      </w:r>
    </w:p>
    <w:p>
      <w:pPr>
        <w:spacing w:before="0" w:after="0" w:line="408" w:lineRule="exact"/>
        <w:ind w:left="0" w:right="0" w:firstLine="576"/>
        <w:jc w:val="left"/>
      </w:pPr>
      <w:r>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t xml:space="preserve">(z) For the 2015-2017 fiscal biennium,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(e)(i) of this subsection;</w:t>
      </w:r>
    </w:p>
    <w:p>
      <w:pPr>
        <w:spacing w:before="0" w:after="0" w:line="408" w:lineRule="exact"/>
        <w:ind w:left="0" w:right="0" w:firstLine="576"/>
        <w:jc w:val="left"/>
      </w:pPr>
      <w:r>
        <w:rPr/>
        <w:t xml:space="preserve">(ii) Remedial actions, including planning for adaptive reuse of properties as provided for under (e)(iv)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w:t>
      </w:r>
      <w:r>
        <w:t>((</w:t>
      </w:r>
      <w:r>
        <w:rPr>
          <w:strike/>
        </w:rPr>
        <w:t xml:space="preserve">2011-2013</w:t>
      </w:r>
      <w:r>
        <w:t>))</w:t>
      </w:r>
      <w:r>
        <w:rPr/>
        <w:t xml:space="preserve"> </w:t>
      </w:r>
      <w:r>
        <w:rPr>
          <w:u w:val="single"/>
        </w:rPr>
        <w:t xml:space="preserve">2015-2017</w:t>
      </w:r>
      <w:r>
        <w:rPr/>
        <w:t xml:space="preserve"> fiscal biennium,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During the 2015-2017 fiscal biennium the local toxics control account may also be used for the centennial clean water program and for the storm water financial assistance program administered by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3055 (uncodified) is amended to read as follows: </w:t>
      </w:r>
    </w:p>
    <w:p>
      <w:r>
        <w:rPr>
          <w:b/>
        </w:rPr>
        <w:t xml:space="preserve">FOR THE DEPARTMENT OF ECOLOGY</w:t>
      </w:r>
    </w:p>
    <w:p>
      <w:pPr>
        <w:spacing w:before="0" w:after="0" w:line="408" w:lineRule="exact"/>
        <w:ind w:left="0" w:right="0" w:firstLine="576"/>
        <w:jc w:val="left"/>
      </w:pPr>
      <w:r>
        <w:rPr/>
        <w:t xml:space="preserve">Reducing Toxic Diesel Emissions (30000428)</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strike/>
        </w:rPr>
        <w:t xml:space="preserve">$9,000,000</w:t>
      </w:r>
    </w:p>
    <w:p>
      <w:pPr>
        <w:tabs>
          <w:tab w:val="right" w:leader="none" w:pos="9936"/>
        </w:tabs>
        <w:ind w:left="0" w:right="0" w:firstLine="1440"/>
      </w:pPr>
      <w:r>
        <w:tab/>
      </w:r>
      <w:r>
        <w:rPr>
          <w:u w:val="single"/>
        </w:rPr>
        <w:t xml:space="preserve">$8,500,000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3056 (uncodified) is amended to read as follows: </w:t>
      </w:r>
    </w:p>
    <w:p>
      <w:r>
        <w:rPr>
          <w:b/>
        </w:rPr>
        <w:t xml:space="preserve">FOR THE DEPARTMENT OF ECOLOGY</w:t>
      </w:r>
    </w:p>
    <w:p>
      <w:pPr>
        <w:spacing w:before="0" w:after="0" w:line="408" w:lineRule="exact"/>
        <w:ind w:left="0" w:right="0" w:firstLine="576"/>
        <w:jc w:val="left"/>
      </w:pPr>
      <w:r>
        <w:rPr/>
        <w:t xml:space="preserve">Reducing Toxic Woodstove Emissions (30000429)</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strike/>
        </w:rPr>
        <w:t xml:space="preserve">$10,000,000</w:t>
      </w:r>
    </w:p>
    <w:p>
      <w:pPr>
        <w:tabs>
          <w:tab w:val="right" w:leader="none" w:pos="9936"/>
        </w:tabs>
        <w:ind w:left="0" w:right="0" w:firstLine="1440"/>
      </w:pPr>
      <w:r>
        <w:tab/>
      </w:r>
      <w:r>
        <w:rPr>
          <w:u w:val="single"/>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30c93ed52a14f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cf07471a6b45f8" /><Relationship Type="http://schemas.openxmlformats.org/officeDocument/2006/relationships/footer" Target="/word/footer.xml" Id="R830c93ed52a14f75" /></Relationships>
</file>