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a758213084abf" /></Relationships>
</file>

<file path=word/document.xml><?xml version="1.0" encoding="utf-8"?>
<w:document xmlns:w="http://schemas.openxmlformats.org/wordprocessingml/2006/main">
  <w:body>
    <w:p>
      <w:r>
        <w:t>S-5246.1</w:t>
      </w:r>
    </w:p>
    <w:p>
      <w:pPr>
        <w:jc w:val="center"/>
      </w:pPr>
      <w:r>
        <w:t>_______________________________________________</w:t>
      </w:r>
    </w:p>
    <w:p/>
    <w:p>
      <w:pPr>
        <w:jc w:val="center"/>
      </w:pPr>
      <w:r>
        <w:rPr>
          <w:b/>
        </w:rPr>
        <w:t>SUBSTITUTE SENATE BILL 6531</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Senate Law &amp; Justice (originally sponsored by Senator Hargrove; by request of Department of Corrections)</w:t>
      </w:r>
    </w:p>
    <w:p/>
    <w:p>
      <w:r>
        <w:rPr>
          <w:t xml:space="preserve">READ FIRST TIME 03/28/16.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who the department of corrections is required to supervise based on the current offense as defined in RCW 9.94A.501(4)(e)(ii) and the maximum duration of community custody as defined in RCW 9.94A.501(8); and reenacting and amending RCW 9.94A.501.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290 s 1 and 2015 c 134 s 1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 a prior conviction for a repetitive domestic violence offense or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after August 1, 2011. This subsection (4)(e)(i) applies only to offenses committed prior to July 24, 2015;</w:t>
      </w:r>
    </w:p>
    <w:p>
      <w:pPr>
        <w:spacing w:before="0" w:after="0" w:line="408" w:lineRule="exact"/>
        <w:ind w:left="0" w:right="0" w:firstLine="576"/>
        <w:jc w:val="left"/>
      </w:pPr>
      <w:r>
        <w:rPr/>
        <w:t xml:space="preserve">(ii) Has a </w:t>
      </w:r>
      <w:r>
        <w:rPr>
          <w:u w:val="single"/>
        </w:rPr>
        <w:t xml:space="preserve">current</w:t>
      </w:r>
      <w:r>
        <w:rPr/>
        <w:t xml:space="preserve"> conviction for a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w:t>
      </w:r>
      <w:r>
        <w:t>((</w:t>
      </w:r>
      <w:r>
        <w:rPr>
          <w:strike/>
        </w:rPr>
        <w:t xml:space="preserve">and that was committed after July 24, 2015</w:t>
      </w:r>
      <w:r>
        <w:t>))</w:t>
      </w:r>
      <w:r>
        <w:rPr/>
        <w:t xml:space="preserv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
      <w:pPr>
        <w:jc w:val="center"/>
      </w:pPr>
      <w:r>
        <w:rPr>
          <w:b/>
        </w:rPr>
        <w:t>--- END ---</w:t>
      </w:r>
    </w:p>
    <w:sectPr>
      <w:pgNumType w:start="1"/>
      <w:footerReference xmlns:r="http://schemas.openxmlformats.org/officeDocument/2006/relationships" r:id="R405187cd23ff43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cfb34cd47478a" /><Relationship Type="http://schemas.openxmlformats.org/officeDocument/2006/relationships/footer" Target="/word/footer.xml" Id="R405187cd23ff432d" /></Relationships>
</file>