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3ab92c68a415c" /></Relationships>
</file>

<file path=word/document.xml><?xml version="1.0" encoding="utf-8"?>
<w:document xmlns:w="http://schemas.openxmlformats.org/wordprocessingml/2006/main">
  <w:body>
    <w:p>
      <w:r>
        <w:t>S-4033.1</w:t>
      </w:r>
    </w:p>
    <w:p>
      <w:pPr>
        <w:jc w:val="center"/>
      </w:pPr>
      <w:r>
        <w:t>_______________________________________________</w:t>
      </w:r>
    </w:p>
    <w:p/>
    <w:p>
      <w:pPr>
        <w:jc w:val="center"/>
      </w:pPr>
      <w:r>
        <w:rPr>
          <w:b/>
        </w:rPr>
        <w:t>SENATE BILL 6519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Cleveland, Dammeier, Frockt, Brown, Angel, Rivers, Bailey, Keiser, Conway, Fain, Carlyle, Rolfes, Chase, and Parlette</w:t>
      </w:r>
    </w:p>
    <w:p/>
    <w:p>
      <w:r>
        <w:rPr>
          <w:t xml:space="preserve">Read first time 01/22/16.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and establishing a collaborative for the advancement of telemedicine; amending RCW 48.43.735, 41.05.700, 74.09.325, and 70.41.230;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telemedicine will play an increasingly important role in the health care system. Telemedicine is a meaningful and efficient way to treat patients and control costs while improving access to care. The expansion of the use of telemedicine should be thoughtfully and systematically considered in Washington state in order to maximize its application and expand access to care. Therefore, it is the intent of the legislature to broaden the reimbursement opportunities for health care services and establish a collaborative for the advancement of telemedicine to provide guidance, research, and recommendations for the benefit of professionals providing care through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and December 1, 2018.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meetings of the board shall be open public meetings, with meeting summaries available on a web page.</w:t>
      </w:r>
    </w:p>
    <w:p>
      <w:pPr>
        <w:spacing w:before="0" w:after="0" w:line="408" w:lineRule="exact"/>
        <w:ind w:left="0" w:right="0" w:firstLine="576"/>
        <w:jc w:val="left"/>
      </w:pPr>
      <w:r>
        <w:rPr/>
        <w:t xml:space="preserve">(5) The future of the collaborative shall be reviewed by the legislature with consideration of ongoing technical assistance needs and opportunities. The collaborative terminates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2015 c 23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2015 c 23 s 2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t>((</w:t>
      </w:r>
      <w:r>
        <w:rPr>
          <w:strike/>
        </w:rPr>
        <w:t xml:space="preserve">(9)[(8)]</w:t>
      </w:r>
      <w:r>
        <w:t>))</w:t>
      </w:r>
      <w:r>
        <w:rPr/>
        <w:t xml:space="preserve"> </w:t>
      </w:r>
      <w:r>
        <w:rPr>
          <w:u w:val="single"/>
        </w:rPr>
        <w:t xml:space="preserve">(8)</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providing telemedicine </w:t>
      </w:r>
      <w:r>
        <w:rPr>
          <w:u w:val="single"/>
        </w:rPr>
        <w:t xml:space="preserve">or store and forward</w:t>
      </w:r>
      <w:r>
        <w:rPr/>
        <w:t xml:space="preserv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w:t>
      </w:r>
      <w:r>
        <w:rPr>
          <w:u w:val="single"/>
        </w:rPr>
        <w:t xml:space="preserve">or store and forward</w:t>
      </w:r>
      <w:r>
        <w:rPr/>
        <w:t xml:space="preserve"> services is a medicare participating hospital;</w:t>
      </w:r>
    </w:p>
    <w:p>
      <w:pPr>
        <w:spacing w:before="0" w:after="0" w:line="408" w:lineRule="exact"/>
        <w:ind w:left="0" w:right="0" w:firstLine="576"/>
        <w:jc w:val="left"/>
      </w:pPr>
      <w:r>
        <w:rPr/>
        <w:t xml:space="preserve">(b) Any physician providing telemedicine </w:t>
      </w:r>
      <w:r>
        <w:rPr>
          <w:u w:val="single"/>
        </w:rPr>
        <w:t xml:space="preserve">or store and forward</w:t>
      </w:r>
      <w:r>
        <w:rPr/>
        <w:t xml:space="preserve"> services at the distant site hospital will be fully privileged to provide such services by the distant site hospital;</w:t>
      </w:r>
    </w:p>
    <w:p>
      <w:pPr>
        <w:spacing w:before="0" w:after="0" w:line="408" w:lineRule="exact"/>
        <w:ind w:left="0" w:right="0" w:firstLine="576"/>
        <w:jc w:val="left"/>
      </w:pPr>
      <w:r>
        <w:rPr/>
        <w:t xml:space="preserve">(c) Any physician providing telemedicine </w:t>
      </w:r>
      <w:r>
        <w:rPr>
          <w:u w:val="single"/>
        </w:rPr>
        <w:t xml:space="preserve">or store and forward</w:t>
      </w:r>
      <w:r>
        <w:rPr/>
        <w:t xml:space="preserv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who holds current privileges at the originating site hospital whose patients are receiving the telemedicine </w:t>
      </w:r>
      <w:r>
        <w:rPr>
          <w:u w:val="single"/>
        </w:rPr>
        <w:t xml:space="preserve">or store and forward</w:t>
      </w:r>
      <w:r>
        <w:rPr/>
        <w:t xml:space="preserv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w:t>
      </w:r>
      <w:r>
        <w:rPr>
          <w:u w:val="single"/>
        </w:rPr>
        <w:t xml:space="preserve">or store and forward</w:t>
      </w:r>
      <w:r>
        <w:rPr/>
        <w:t xml:space="preserv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t xml:space="preserve">(4) The medical quality assurance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take effect January 1, 2018.</w:t>
      </w:r>
    </w:p>
    <w:p/>
    <w:p>
      <w:pPr>
        <w:jc w:val="center"/>
      </w:pPr>
      <w:r>
        <w:rPr>
          <w:b/>
        </w:rPr>
        <w:t>--- END ---</w:t>
      </w:r>
    </w:p>
    <w:sectPr>
      <w:pgNumType w:start="1"/>
      <w:footerReference xmlns:r="http://schemas.openxmlformats.org/officeDocument/2006/relationships" r:id="R47272759ec994f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139e7e54943ca" /><Relationship Type="http://schemas.openxmlformats.org/officeDocument/2006/relationships/footer" Target="/word/footer.xml" Id="R47272759ec994f44" /></Relationships>
</file>