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97358a5b64169" /></Relationships>
</file>

<file path=word/document.xml><?xml version="1.0" encoding="utf-8"?>
<w:document xmlns:w="http://schemas.openxmlformats.org/wordprocessingml/2006/main">
  <w:body>
    <w:p>
      <w:r>
        <w:t>S-4256.1</w:t>
      </w:r>
    </w:p>
    <w:p>
      <w:pPr>
        <w:jc w:val="center"/>
      </w:pPr>
      <w:r>
        <w:t>_______________________________________________</w:t>
      </w:r>
    </w:p>
    <w:p/>
    <w:p>
      <w:pPr>
        <w:jc w:val="center"/>
      </w:pPr>
      <w:r>
        <w:rPr>
          <w:b/>
        </w:rPr>
        <w:t>SUBSTITUTE SENATE BILL 6513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Warnick, Hobbs, Parlette, Takko, Hargrove, and Honeyford)</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reservations of water in water resource inventory area 45; adding a new section to chapter 90.54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shall act on all water rights applications which may rely on reservations of water established under the authority of RCW 90.54.020(3)(a) included in a rule setting minimum instream flows and levels for water resource inventory area 45, chapter 173-545 WAC, as it existed on the effective date of this section. The legislature declares that the rule to which this section applies as it existed on the effective date of this section is consistent with legislative intent and is specifically authorized to be maintained and implemented by the department.</w:t>
      </w:r>
    </w:p>
    <w:p>
      <w:pPr>
        <w:spacing w:before="0" w:after="0" w:line="408" w:lineRule="exact"/>
        <w:ind w:left="0" w:right="0" w:firstLine="576"/>
        <w:jc w:val="left"/>
      </w:pPr>
      <w:r>
        <w:rPr/>
        <w:t xml:space="preserve">(2) This section does not affect the department's authority to adopt, amend, or repeal rules establishing minimum instream flows and levels.</w:t>
      </w:r>
    </w:p>
    <w:p>
      <w:pPr>
        <w:spacing w:before="0" w:after="0" w:line="408" w:lineRule="exact"/>
        <w:ind w:left="0" w:right="0" w:firstLine="576"/>
        <w:jc w:val="left"/>
      </w:pPr>
      <w:r>
        <w:rPr/>
        <w:t xml:space="preserve">(3) This section may not be construed to prejudice any reservations of water included in any rule not covered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015879d373943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ec150f6064685" /><Relationship Type="http://schemas.openxmlformats.org/officeDocument/2006/relationships/footer" Target="/word/footer.xml" Id="Ra015879d3739437b" /></Relationships>
</file>