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39dfeb558b41e6" /></Relationships>
</file>

<file path=word/document.xml><?xml version="1.0" encoding="utf-8"?>
<w:document xmlns:w="http://schemas.openxmlformats.org/wordprocessingml/2006/main">
  <w:body>
    <w:p>
      <w:r>
        <w:t>S-4539.1</w:t>
      </w:r>
    </w:p>
    <w:p>
      <w:pPr>
        <w:jc w:val="center"/>
      </w:pPr>
      <w:r>
        <w:t>_______________________________________________</w:t>
      </w:r>
    </w:p>
    <w:p/>
    <w:p>
      <w:pPr>
        <w:jc w:val="center"/>
      </w:pPr>
      <w:r>
        <w:rPr>
          <w:b/>
        </w:rPr>
        <w:t>SUBSTITUTE SENATE BILL 6502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Hargrove and Frockt)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fire prevention and suppression; amending RCW 76.04.167 and 76.04.610; adding a new section to chapter 76.04 RCW; adding a new section to chapter 28B.35 RCW; creating a new section; making appropriations;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167</w:t>
      </w:r>
      <w:r>
        <w:rPr/>
        <w:t xml:space="preserve"> and 2001 c 279 s 1 are each amended to read as follows:</w:t>
      </w:r>
    </w:p>
    <w:p>
      <w:pPr>
        <w:spacing w:before="0" w:after="0" w:line="408" w:lineRule="exact"/>
        <w:ind w:left="0" w:right="0" w:firstLine="576"/>
        <w:jc w:val="left"/>
      </w:pPr>
      <w:r>
        <w:rPr/>
        <w:t xml:space="preserve">(1) The legislature hereby finds and declares that:</w:t>
      </w:r>
    </w:p>
    <w:p>
      <w:pPr>
        <w:spacing w:before="0" w:after="0" w:line="408" w:lineRule="exact"/>
        <w:ind w:left="0" w:right="0" w:firstLine="576"/>
        <w:jc w:val="left"/>
      </w:pPr>
      <w:r>
        <w:rPr/>
        <w:t xml:space="preserve">(a) Forest wildfires are a threat to public health and safety and can cause catastrophic damage to public and private resources, including clean air, clean water, fish and wildlife habitat, timber resources, forest soils, scenic beauty, recreational opportunities, economic and employment opportunities, structures, and other improvements;</w:t>
      </w:r>
    </w:p>
    <w:p>
      <w:pPr>
        <w:spacing w:before="0" w:after="0" w:line="408" w:lineRule="exact"/>
        <w:ind w:left="0" w:right="0" w:firstLine="576"/>
        <w:jc w:val="left"/>
      </w:pPr>
      <w:r>
        <w:rPr/>
        <w:t xml:space="preserve">(b) Forest landowners and the public have a shared interest in protecting forests and forest resources by preventing and suppressing forest wildfires;</w:t>
      </w:r>
    </w:p>
    <w:p>
      <w:pPr>
        <w:spacing w:before="0" w:after="0" w:line="408" w:lineRule="exact"/>
        <w:ind w:left="0" w:right="0" w:firstLine="576"/>
        <w:jc w:val="left"/>
      </w:pPr>
      <w:r>
        <w:rPr/>
        <w:t xml:space="preserve">(c) A recent independent analysis of the state fire program considered it imperative to restore a more equitable split between the general fund and forest protection assessments;</w:t>
      </w:r>
    </w:p>
    <w:p>
      <w:pPr>
        <w:spacing w:before="0" w:after="0" w:line="408" w:lineRule="exact"/>
        <w:ind w:left="0" w:right="0" w:firstLine="576"/>
        <w:jc w:val="left"/>
      </w:pPr>
      <w:r>
        <w:rPr/>
        <w:t xml:space="preserve">(d) Without a substantial increase in forest protection funds, the state's citizens will be paying much more money for emergency fire suppression; and</w:t>
      </w:r>
    </w:p>
    <w:p>
      <w:pPr>
        <w:spacing w:before="0" w:after="0" w:line="408" w:lineRule="exact"/>
        <w:ind w:left="0" w:right="0" w:firstLine="576"/>
        <w:jc w:val="left"/>
      </w:pPr>
      <w:r>
        <w:rPr/>
        <w:t xml:space="preserve">(e) It is therefore the intent of the legislature that the costs of fire protection be equitably shared between the forest protection assessment account and state contributions to ensure that there will be sufficient firefighters who are equipped and trained to respond quickly to fires in order to keep fires small and manage those large fires that do occur. In recognition of increases in landowner assessments, the legislature declares its intent that increases in the state's share for forest protection should be provided to stabilize the funding for the forest protection program, and that sufficient state funds should be committed to the forest protection program so that the recommendations contained in the 1997 tridata report can be implemented on an equitable basis.</w:t>
      </w:r>
    </w:p>
    <w:p>
      <w:pPr>
        <w:spacing w:before="0" w:after="0" w:line="408" w:lineRule="exact"/>
        <w:ind w:left="0" w:right="0" w:firstLine="576"/>
        <w:jc w:val="left"/>
      </w:pPr>
      <w:r>
        <w:rPr/>
        <w:t xml:space="preserve">(2) The legislature hereby finds and declares that</w:t>
      </w:r>
      <w:r>
        <w:rPr>
          <w:u w:val="single"/>
        </w:rPr>
        <w:t xml:space="preserve">:</w:t>
      </w:r>
    </w:p>
    <w:p>
      <w:pPr>
        <w:spacing w:before="0" w:after="0" w:line="408" w:lineRule="exact"/>
        <w:ind w:left="0" w:right="0" w:firstLine="576"/>
        <w:jc w:val="left"/>
      </w:pPr>
      <w:r>
        <w:rPr>
          <w:u w:val="single"/>
        </w:rPr>
        <w:t xml:space="preserve">(a) I</w:t>
      </w:r>
      <w:r>
        <w:rPr/>
        <w:t xml:space="preserve">t is in the public interest to establish and maintain a complete, cooperative, and coordinated forest fire protection and suppression program for the state; </w:t>
      </w:r>
      <w:r>
        <w:t>((</w:t>
      </w:r>
      <w:r>
        <w:rPr>
          <w:strike/>
        </w:rPr>
        <w:t xml:space="preserve">that,</w:t>
      </w:r>
      <w:r>
        <w:t>))</w:t>
      </w:r>
    </w:p>
    <w:p>
      <w:pPr>
        <w:spacing w:before="0" w:after="0" w:line="408" w:lineRule="exact"/>
        <w:ind w:left="0" w:right="0" w:firstLine="576"/>
        <w:jc w:val="left"/>
      </w:pPr>
      <w:r>
        <w:rPr>
          <w:u w:val="single"/>
        </w:rPr>
        <w:t xml:space="preserve">(b) S</w:t>
      </w:r>
      <w:r>
        <w:rPr/>
        <w:t xml:space="preserve">econd only to saving lives, the </w:t>
      </w:r>
      <w:r>
        <w:t>((</w:t>
      </w:r>
      <w:r>
        <w:rPr>
          <w:strike/>
        </w:rPr>
        <w:t xml:space="preserve">primary</w:t>
      </w:r>
      <w:r>
        <w:t>))</w:t>
      </w:r>
      <w:r>
        <w:rPr/>
        <w:t xml:space="preserve"> mission of the department is protecting forest resources and </w:t>
      </w:r>
      <w:r>
        <w:t>((</w:t>
      </w:r>
      <w:r>
        <w:rPr>
          <w:strike/>
        </w:rPr>
        <w:t xml:space="preserve">suppressing forest wild fires</w:t>
      </w:r>
      <w:r>
        <w:t>))</w:t>
      </w:r>
      <w:r>
        <w:rPr/>
        <w:t xml:space="preserve"> </w:t>
      </w:r>
      <w:r>
        <w:rPr>
          <w:u w:val="single"/>
        </w:rPr>
        <w:t xml:space="preserve">preventing the spread of wildfires into communities and homes</w:t>
      </w:r>
      <w:r>
        <w:rPr/>
        <w:t xml:space="preserve">; </w:t>
      </w:r>
      <w:r>
        <w:t>((</w:t>
      </w:r>
      <w:r>
        <w:rPr>
          <w:strike/>
        </w:rPr>
        <w:t xml:space="preserve">that</w:t>
      </w:r>
      <w:r>
        <w:t>))</w:t>
      </w:r>
    </w:p>
    <w:p>
      <w:pPr>
        <w:spacing w:before="0" w:after="0" w:line="408" w:lineRule="exact"/>
        <w:ind w:left="0" w:right="0" w:firstLine="576"/>
        <w:jc w:val="left"/>
      </w:pPr>
      <w:r>
        <w:rPr>
          <w:u w:val="single"/>
        </w:rPr>
        <w:t xml:space="preserve">(c) A</w:t>
      </w:r>
      <w:r>
        <w:rPr/>
        <w:t xml:space="preserve"> primary mission of rural fire districts and municipal fire departments is protecting improved property and suppressing structural fires; and </w:t>
      </w:r>
      <w:r>
        <w:t>((</w:t>
      </w:r>
      <w:r>
        <w:rPr>
          <w:strike/>
        </w:rPr>
        <w:t xml:space="preserve">that the most effective way to protect structures is for the department to focus its efforts and resources on aggressively suppressing forest wild fires</w:t>
      </w:r>
      <w:r>
        <w:t>))</w:t>
      </w:r>
    </w:p>
    <w:p>
      <w:pPr>
        <w:spacing w:before="0" w:after="0" w:line="408" w:lineRule="exact"/>
        <w:ind w:left="0" w:right="0" w:firstLine="576"/>
        <w:jc w:val="left"/>
      </w:pPr>
      <w:r>
        <w:rPr>
          <w:u w:val="single"/>
        </w:rPr>
        <w:t xml:space="preserve">(d) Specific firefighting priorities are coordinated among firefighting entities and those priorities are heavily influenced by the protection of human life, communities, and property</w:t>
      </w:r>
      <w:r>
        <w:rPr/>
        <w:t xml:space="preserve">.</w:t>
      </w:r>
    </w:p>
    <w:p>
      <w:pPr>
        <w:spacing w:before="0" w:after="0" w:line="408" w:lineRule="exact"/>
        <w:ind w:left="0" w:right="0" w:firstLine="576"/>
        <w:jc w:val="left"/>
      </w:pPr>
      <w:r>
        <w:rPr/>
        <w:t xml:space="preserve">(3) The legislature also acknowledges the natural role of fire in forest ecosystems, and finds and declares it in the public interest to use fire under controlled conditions to prevent wildfires by maintaining healthy forests and eliminating sources of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 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Year</w:t>
            </w:r>
          </w:p>
        </w:tc>
        <w:tc>
          <w:tcPr>
            <w:tcW w:w="2420" w:type="dxa"/>
            <w:vAlign w:val="top"/>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2002</w:t>
            </w:r>
          </w:p>
        </w:tc>
        <w:tc>
          <w:tcPr>
            <w:tcW w:w="2420" w:type="dxa"/>
            <w:vAlign w:val="top"/>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2003</w:t>
            </w:r>
          </w:p>
        </w:tc>
        <w:tc>
          <w:tcPr>
            <w:tcW w:w="2420" w:type="dxa"/>
            <w:vAlign w:val="top"/>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w:t>
      </w:r>
      <w:r>
        <w:rPr>
          <w:u w:val="single"/>
        </w:rPr>
        <w:t xml:space="preserve">For every taxable parcel of land within the state of Washington that is not subject to the assessment imposed under subsection (1) of this section, the department shall impose an annual per parcel assessment of four dollars and ninety-five cents.</w:t>
      </w:r>
    </w:p>
    <w:p>
      <w:pPr>
        <w:spacing w:before="0" w:after="0" w:line="408" w:lineRule="exact"/>
        <w:ind w:left="0" w:right="0" w:firstLine="576"/>
        <w:jc w:val="left"/>
      </w:pPr>
      <w:r>
        <w:rPr>
          <w:u w:val="single"/>
        </w:rPr>
        <w:t xml:space="preserve">(4)</w:t>
      </w:r>
      <w:r>
        <w:rPr/>
        <w:t xml:space="preserve"> Beginning January 1, 1991, under the administration and at the discretion of the department up to two hundred thousand dollars per year of this assessment shall be used in support of those rural fire districts assisting the department in fire protection services on forest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 of this chapter, the department may divide the forest 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 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 lands or received from any other source for necessary administrative costs in connection with the enforcement of RCW 76.04.660.</w:t>
      </w:r>
    </w:p>
    <w:p>
      <w:pPr>
        <w:spacing w:before="0" w:after="0" w:line="408" w:lineRule="exact"/>
        <w:ind w:left="0" w:right="0" w:firstLine="576"/>
        <w:jc w:val="left"/>
      </w:pPr>
      <w:r>
        <w:t>((</w:t>
      </w:r>
      <w:r>
        <w:rPr>
          <w:strike/>
        </w:rPr>
        <w:t xml:space="preserve">(6)</w:t>
      </w:r>
      <w:r>
        <w:t>))</w:t>
      </w:r>
      <w:r>
        <w:rPr/>
        <w:t xml:space="preserve"> </w:t>
      </w:r>
      <w:r>
        <w:rPr>
          <w:u w:val="single"/>
        </w:rPr>
        <w:t xml:space="preserve">(7) Beginning in fiscal year 2017, the department shall transfer ten percent of the revenue collected from the parcel assessments specified in subsections (1) and (3) of this section into the military department active state service account, created in RCW 38.40.220.</w:t>
      </w:r>
    </w:p>
    <w:p>
      <w:pPr>
        <w:spacing w:before="0" w:after="0" w:line="408" w:lineRule="exact"/>
        <w:ind w:left="0" w:right="0" w:firstLine="576"/>
        <w:jc w:val="left"/>
      </w:pPr>
      <w:r>
        <w:rPr>
          <w:u w:val="single"/>
        </w:rPr>
        <w:t xml:space="preserve">(8)</w:t>
      </w:r>
      <w:r>
        <w:rPr/>
        <w:t xml:space="preserve">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nonfederal public bodies owning or administering forest 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w:t>
      </w:r>
      <w:r>
        <w:t>((</w:t>
      </w:r>
      <w:r>
        <w:rPr>
          <w:strike/>
        </w:rPr>
        <w:t xml:space="preserve">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A public body, having failed to previously pay the forest protection assessments required of it by this section, which fails to suppress a fire on or originating from forest 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may adopt rules to implement this section, including, but not limited to, rules on levying and collecting forest protection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2016, the department of natural resources must recommend to the appropriate committees of the legislature options to incentivize adoption of the International Wildland Urban Interface Code, published by the International Code Council, Inc., particularly by counties at high risk during wildfire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Central Washington University shall develop a bachelor of science degree program for wildfire behavior forecasting. Central Washington University shall also develop a specialized wildfire management certification course to train wildfire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six hundred fifty thousand dollars, or as much thereof as may be necessary, is appropriated for the fiscal year ending June 30, 2017, from the general fund to Central Washington University for the purposes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twelve million two hundred twenty-six thousand dollars from the disaster response account and the sum of nine hundred twenty-eight thousand dollars from the general fund are appropriated for the fiscal biennium ending June 30, 2017, to the department of natural resources for the purposes specified in this section.</w:t>
      </w:r>
    </w:p>
    <w:p>
      <w:pPr>
        <w:spacing w:before="0" w:after="0" w:line="408" w:lineRule="exact"/>
        <w:ind w:left="0" w:right="0" w:firstLine="576"/>
        <w:jc w:val="left"/>
      </w:pPr>
      <w:r>
        <w:rPr/>
        <w:t xml:space="preserve">(2) The appropriations in this section are subject to the following conditions and limitations:</w:t>
      </w:r>
    </w:p>
    <w:p>
      <w:pPr>
        <w:spacing w:before="0" w:after="0" w:line="408" w:lineRule="exact"/>
        <w:ind w:left="0" w:right="0" w:firstLine="576"/>
        <w:jc w:val="left"/>
      </w:pPr>
      <w:r>
        <w:rPr/>
        <w:t xml:space="preserve">(a) $464,000 of the general fund</w:t>
      </w:r>
      <w:r>
        <w:rPr>
          <w:rFonts w:ascii="Times New Roman" w:hAnsi="Times New Roman"/>
        </w:rPr>
        <w:t xml:space="preserve">—</w:t>
      </w:r>
      <w:r>
        <w:rPr/>
        <w:t xml:space="preserve">state appropriation for fiscal year 2016 and $464,000 of the general fund</w:t>
      </w:r>
      <w:r>
        <w:rPr>
          <w:rFonts w:ascii="Times New Roman" w:hAnsi="Times New Roman"/>
        </w:rPr>
        <w:t xml:space="preserve">—</w:t>
      </w:r>
      <w:r>
        <w:rPr/>
        <w:t xml:space="preserve">state appropriation for fiscal year 2017 are provided solely for fire control in order to fund a ninety-day exclusive use contract for a fixed-wing single engine air tanker, aerial coordination, and associated operational costs.</w:t>
      </w:r>
    </w:p>
    <w:p>
      <w:pPr>
        <w:spacing w:before="0" w:after="0" w:line="408" w:lineRule="exact"/>
        <w:ind w:left="0" w:right="0" w:firstLine="576"/>
        <w:jc w:val="left"/>
      </w:pPr>
      <w:r>
        <w:rPr/>
        <w:t xml:space="preserve">(b) $3,796,000 of the disaster response account appropriation is provided solely for joint wildland fire training of the department of natural resources, Washington national guard, local governments, and tribal firefighters.</w:t>
      </w:r>
    </w:p>
    <w:p>
      <w:pPr>
        <w:spacing w:before="0" w:after="0" w:line="408" w:lineRule="exact"/>
        <w:ind w:left="0" w:right="0" w:firstLine="576"/>
        <w:jc w:val="left"/>
      </w:pPr>
      <w:r>
        <w:rPr/>
        <w:t xml:space="preserve">(c) $1,372,000 of the disaster response account appropriation is provided solely to enhance the department of natural resource's capacity to respond to large wildfires using in-state resources and to enhance capacity for aerial attack for wildfires.</w:t>
      </w:r>
    </w:p>
    <w:p>
      <w:pPr>
        <w:spacing w:before="0" w:after="0" w:line="408" w:lineRule="exact"/>
        <w:ind w:left="0" w:right="0" w:firstLine="576"/>
        <w:jc w:val="left"/>
      </w:pPr>
      <w:r>
        <w:rPr/>
        <w:t xml:space="preserve">(d) $1,177,000 of the disaster response account appropriation is provided solely for implementation of firewise,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(e) $1,200,000 of the disaster response account appropriation is provided solely for radio communications system maintenance and upgrades in coordination with the state interoperability executive committee.</w:t>
      </w:r>
    </w:p>
    <w:p>
      <w:pPr>
        <w:spacing w:before="0" w:after="0" w:line="408" w:lineRule="exact"/>
        <w:ind w:left="0" w:right="0" w:firstLine="576"/>
        <w:jc w:val="left"/>
      </w:pPr>
      <w:r>
        <w:rPr/>
        <w:t xml:space="preserve">(f) $4,681,000 of the disaster response account appropriation is provided solely for a grant program to local fire districts for wildland firefighting equipment and to provide a state match for federal equipment grants to fire districts. In providing these grants, priority must be given to districts with the highest risk of wildfire, greatest equipment deficiencies, and the greatest financial need.</w:t>
      </w:r>
    </w:p>
    <w:p/>
    <w:p>
      <w:pPr>
        <w:jc w:val="center"/>
      </w:pPr>
      <w:r>
        <w:rPr>
          <w:b/>
        </w:rPr>
        <w:t>--- END ---</w:t>
      </w:r>
    </w:p>
    <w:sectPr>
      <w:pgNumType w:start="1"/>
      <w:footerReference xmlns:r="http://schemas.openxmlformats.org/officeDocument/2006/relationships" r:id="Ra9e4b6b728b146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ca8896d86a4a88" /><Relationship Type="http://schemas.openxmlformats.org/officeDocument/2006/relationships/footer" Target="/word/footer.xml" Id="Ra9e4b6b728b146a4" /></Relationships>
</file>