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f215ad5651425a" /></Relationships>
</file>

<file path=word/document.xml><?xml version="1.0" encoding="utf-8"?>
<w:document xmlns:w="http://schemas.openxmlformats.org/wordprocessingml/2006/main">
  <w:body>
    <w:p>
      <w:r>
        <w:t>S-3879.1</w:t>
      </w:r>
    </w:p>
    <w:p>
      <w:pPr>
        <w:jc w:val="center"/>
      </w:pPr>
      <w:r>
        <w:t>_______________________________________________</w:t>
      </w:r>
    </w:p>
    <w:p/>
    <w:p>
      <w:pPr>
        <w:jc w:val="center"/>
      </w:pPr>
      <w:r>
        <w:rPr>
          <w:b/>
        </w:rPr>
        <w:t>SENATE BILL 6498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Frockt, Pedersen, Angel, and Rolfes</w:t>
      </w:r>
    </w:p>
    <w:p/>
    <w:p>
      <w:r>
        <w:rPr>
          <w:t xml:space="preserve">Read first time 01/22/16.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testamentary privileges for alcohol and drug addiction recovery sponsors; and amending RCW 5.60.060.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2012 c 29 s 12 are each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70.96A, 70.96B, 71.05, or 71.09 RCW: PROVIDED, That the spouse or the domestic partner of a person sought to be detained under chapter 70.96A, 70.96B, 71.05,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70.96A.140 or 71.05.360 (8) and (9),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law enforcement officer or firefighter making the communication, be compelled to testify about any communication made to the counselor by the officer or firefighter while receiving counseling. The counselor must be designated as such by the sheriff, police chief, fire chief, or chief of the Washington state patrol, prior to the incident that results in counseling. The privilege only applies when the communication was made to the counselor while acting in his or her capacity as a peer support group counselor. The privilege does not apply if the counselor was an initial responding officer or firefighter, a witness, or a party to the incident which prompted the delivery of peer support group counseling services to the law enforcement officer or firefighter.</w:t>
      </w:r>
    </w:p>
    <w:p>
      <w:pPr>
        <w:spacing w:before="0" w:after="0" w:line="408" w:lineRule="exact"/>
        <w:ind w:left="0" w:right="0" w:firstLine="576"/>
        <w:jc w:val="left"/>
      </w:pPr>
      <w:r>
        <w:rPr/>
        <w:t xml:space="preserve">(b) For purposes of this section, "peer support group counselor" means a:</w:t>
      </w:r>
    </w:p>
    <w:p>
      <w:pPr>
        <w:spacing w:before="0" w:after="0" w:line="408" w:lineRule="exact"/>
        <w:ind w:left="0" w:right="0" w:firstLine="576"/>
        <w:jc w:val="left"/>
      </w:pPr>
      <w:r>
        <w:rPr/>
        <w:t xml:space="preserve">(i) Law enforcement officer, firefighter, civilian employee of a law enforcement agency, or civilian employee of a fire department, who has received training to provide emotional and moral support and counseling to an officer or firefighter who needs those services as a result of an incident in which the officer or firefighter was involved while acting in his or her official capacity; or</w:t>
      </w:r>
    </w:p>
    <w:p>
      <w:pPr>
        <w:spacing w:before="0" w:after="0" w:line="408" w:lineRule="exact"/>
        <w:ind w:left="0" w:right="0" w:firstLine="576"/>
        <w:jc w:val="left"/>
      </w:pPr>
      <w:r>
        <w:rPr/>
        <w:t xml:space="preserve">(ii) Nonemployee counselor who has been designated by the sheriff, police chief, fire chief, or chief of the Washington state patrol to provide emotional and moral support and counseling to an officer or firefighter who needs those services as a result of an incident in which the officer or firefighter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social and health services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w:t>
      </w:r>
      <w:r>
        <w:t>((</w:t>
      </w:r>
      <w:r>
        <w:rPr>
          <w:strike/>
        </w:rPr>
        <w:t xml:space="preserve">(12)</w:t>
      </w:r>
      <w:r>
        <w:t>))</w:t>
      </w:r>
      <w:r>
        <w:rPr/>
        <w:t xml:space="preserve"> </w:t>
      </w:r>
      <w:r>
        <w:rPr>
          <w:u w:val="single"/>
        </w:rPr>
        <w:t xml:space="preserve">(14)</w:t>
      </w:r>
      <w:r>
        <w:rPr/>
        <w:t xml:space="preserve">.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71.05.360 (8) and (9);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0" w:after="0" w:line="408" w:lineRule="exact"/>
        <w:ind w:left="0" w:right="0" w:firstLine="576"/>
        <w:jc w:val="left"/>
      </w:pPr>
      <w:r>
        <w:rPr>
          <w:u w:val="single"/>
        </w:rPr>
        <w:t xml:space="preserve">(10) An individual who acts as a sponsor providing guidance, emotional support, and counseling in an individualized manner to a person participating in an alcohol or drug addiction recovery fellowship may not testify in any civil action or proceeding about any communication made by the person participating in the addiction recovery fellowship to the individual who acts as a sponsor except with the written authorization of that person or, in the case of death or disability, the person's personal representative.</w:t>
      </w:r>
    </w:p>
    <w:p/>
    <w:p>
      <w:pPr>
        <w:jc w:val="center"/>
      </w:pPr>
      <w:r>
        <w:rPr>
          <w:b/>
        </w:rPr>
        <w:t>--- END ---</w:t>
      </w:r>
    </w:p>
    <w:sectPr>
      <w:pgNumType w:start="1"/>
      <w:footerReference xmlns:r="http://schemas.openxmlformats.org/officeDocument/2006/relationships" r:id="Rea4b7838861a47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3345ef9dc14f85" /><Relationship Type="http://schemas.openxmlformats.org/officeDocument/2006/relationships/footer" Target="/word/footer.xml" Id="Rea4b7838861a4792" /></Relationships>
</file>