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b685d0dbe47a4" /></Relationships>
</file>

<file path=word/document.xml><?xml version="1.0" encoding="utf-8"?>
<w:document xmlns:w="http://schemas.openxmlformats.org/wordprocessingml/2006/main">
  <w:body>
    <w:p>
      <w:r>
        <w:t>S-4418.1</w:t>
      </w:r>
    </w:p>
    <w:p>
      <w:pPr>
        <w:jc w:val="center"/>
      </w:pPr>
      <w:r>
        <w:t>_______________________________________________</w:t>
      </w:r>
    </w:p>
    <w:p/>
    <w:p>
      <w:pPr>
        <w:jc w:val="center"/>
      </w:pPr>
      <w:r>
        <w:rPr>
          <w:b/>
        </w:rPr>
        <w:t>SUBSTITUTE SENATE BILL 6494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Darneille, Frockt, Rivers, O'Ban, Conway, Carlyle, Rolfes, Keiser, McAuliffe, and Hasegawa)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discourage the overuse of psychotropic medications for children and youth.</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twenty-six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Review workforce issues related to serving children and families, including issues specifically related to birth to five;</w:t>
      </w:r>
    </w:p>
    <w:p>
      <w:pPr>
        <w:spacing w:before="0" w:after="0" w:line="408" w:lineRule="exact"/>
        <w:ind w:left="0" w:right="0" w:firstLine="576"/>
        <w:jc w:val="left"/>
      </w:pPr>
      <w:r>
        <w:rPr/>
        <w:t xml:space="preserve">(d)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(e)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(f)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(g)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health care authority shall expand the partnership access line service by selecting a rural inclusive region of the state to offer an additional level of child mental health care support services for primary care, to be referred to as the PAL plus pilot program.</w:t>
      </w:r>
    </w:p>
    <w:p>
      <w:pPr>
        <w:spacing w:before="0" w:after="0" w:line="408" w:lineRule="exact"/>
        <w:ind w:left="0" w:right="0" w:firstLine="576"/>
        <w:jc w:val="left"/>
      </w:pPr>
      <w:r>
        <w:rPr/>
        <w:t xml:space="preserve">(b) For purposes of the PAL plus pilot program, the health care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(2)(a) The PAL plus service is targeted to help children and families with medicaid coverage who have mental health concerns not already being served by the behavioral health organization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(i) Evaluation and diagnostic support;</w:t>
      </w:r>
    </w:p>
    <w:p>
      <w:pPr>
        <w:spacing w:before="0" w:after="0" w:line="408" w:lineRule="exact"/>
        <w:ind w:left="0" w:right="0" w:firstLine="576"/>
        <w:jc w:val="left"/>
      </w:pPr>
      <w:r>
        <w:rPr/>
        <w:t xml:space="preserve">(ii) Individual patient care progress tracking;</w:t>
      </w:r>
    </w:p>
    <w:p>
      <w:pPr>
        <w:spacing w:before="0" w:after="0" w:line="408" w:lineRule="exact"/>
        <w:ind w:left="0" w:right="0" w:firstLine="576"/>
        <w:jc w:val="left"/>
      </w:pPr>
      <w:r>
        <w:rPr/>
        <w:t xml:space="preserve">(iii) Behavior management coaching; and</w:t>
      </w:r>
    </w:p>
    <w:p>
      <w:pPr>
        <w:spacing w:before="0" w:after="0" w:line="408" w:lineRule="exact"/>
        <w:ind w:left="0" w:right="0" w:firstLine="576"/>
        <w:jc w:val="left"/>
      </w:pPr>
      <w:r>
        <w:rPr/>
        <w:t xml:space="preserve">(iv) Other evidence supported psychosocial care supports which are delivered as an early and easily accessed intervention for families.</w:t>
      </w:r>
    </w:p>
    <w:p>
      <w:pPr>
        <w:spacing w:before="0" w:after="0" w:line="408" w:lineRule="exact"/>
        <w:ind w:left="0" w:right="0" w:firstLine="576"/>
        <w:jc w:val="left"/>
      </w:pPr>
      <w:r>
        <w:rPr/>
        <w:t xml:space="preserve">(b) The PAL team of child psychiatrists and psychologists shall provide mental health service providers with training and support, 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discourage the overuse of psychotropic medications for children and youth.</w:t>
      </w:r>
    </w:p>
    <w:p>
      <w:pPr>
        <w:spacing w:before="0" w:after="0" w:line="408" w:lineRule="exact"/>
        <w:ind w:left="0" w:right="0" w:firstLine="576"/>
        <w:jc w:val="left"/>
      </w:pPr>
      <w:r>
        <w:rPr/>
        <w:t xml:space="preserve">(3)(a) The health care authority shall monitor PAL plus service outcomes, including, but not limited to:</w:t>
      </w:r>
    </w:p>
    <w:p>
      <w:pPr>
        <w:spacing w:before="0" w:after="0" w:line="408" w:lineRule="exact"/>
        <w:ind w:left="0" w:right="0" w:firstLine="576"/>
        <w:jc w:val="left"/>
      </w:pPr>
      <w:r>
        <w:rPr/>
        <w:t xml:space="preserve">(i) Characteristics of the population being served;</w:t>
      </w:r>
    </w:p>
    <w:p>
      <w:pPr>
        <w:spacing w:before="0" w:after="0" w:line="408" w:lineRule="exact"/>
        <w:ind w:left="0" w:right="0" w:firstLine="576"/>
        <w:jc w:val="left"/>
      </w:pPr>
      <w:r>
        <w:rPr/>
        <w:t xml:space="preserve">(ii) Process measures of service utilization;</w:t>
      </w:r>
    </w:p>
    <w:p>
      <w:pPr>
        <w:spacing w:before="0" w:after="0" w:line="408" w:lineRule="exact"/>
        <w:ind w:left="0" w:right="0" w:firstLine="576"/>
        <w:jc w:val="left"/>
      </w:pPr>
      <w:r>
        <w:rPr/>
        <w:t xml:space="preserve">(iii) Behavioral health symptom rating scale outcomes of individuals and aggregate rating scale outcomes of populations of children served;</w:t>
      </w:r>
    </w:p>
    <w:p>
      <w:pPr>
        <w:spacing w:before="0" w:after="0" w:line="408" w:lineRule="exact"/>
        <w:ind w:left="0" w:right="0" w:firstLine="576"/>
        <w:jc w:val="left"/>
      </w:pPr>
      <w:r>
        <w:rPr/>
        <w:t xml:space="preserve">(iv) Claims data comparison of implementation versus nonimplementation regions;</w:t>
      </w:r>
    </w:p>
    <w:p>
      <w:pPr>
        <w:spacing w:before="0" w:after="0" w:line="408" w:lineRule="exact"/>
        <w:ind w:left="0" w:right="0" w:firstLine="576"/>
        <w:jc w:val="left"/>
      </w:pPr>
      <w:r>
        <w:rPr/>
        <w:t xml:space="preserve">(v) Service referral patterns to local specialty mental health care providers; and</w:t>
      </w:r>
    </w:p>
    <w:p>
      <w:pPr>
        <w:spacing w:before="0" w:after="0" w:line="408" w:lineRule="exact"/>
        <w:ind w:left="0" w:right="0" w:firstLine="576"/>
        <w:jc w:val="left"/>
      </w:pPr>
      <w:r>
        <w:rPr/>
        <w:t xml:space="preserve">(vi) Family and provider feedback.</w:t>
      </w:r>
    </w:p>
    <w:p>
      <w:pPr>
        <w:spacing w:before="0" w:after="0" w:line="408" w:lineRule="exact"/>
        <w:ind w:left="0" w:right="0" w:firstLine="576"/>
        <w:jc w:val="left"/>
      </w:pPr>
      <w:r>
        <w:rPr/>
        <w:t xml:space="preserve">(b)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t xml:space="preserve">(4) This section expires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annual screening and provider payment for depression for children ages eleven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5ca501f4681043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51548c2e94b78" /><Relationship Type="http://schemas.openxmlformats.org/officeDocument/2006/relationships/footer" Target="/word/footer.xml" Id="R5ca501f4681043c5" /></Relationships>
</file>