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025330da14812" /></Relationships>
</file>

<file path=word/document.xml><?xml version="1.0" encoding="utf-8"?>
<w:document xmlns:w="http://schemas.openxmlformats.org/wordprocessingml/2006/main">
  <w:body>
    <w:p>
      <w:r>
        <w:t>S-3930.1</w:t>
      </w:r>
    </w:p>
    <w:p>
      <w:pPr>
        <w:jc w:val="center"/>
      </w:pPr>
      <w:r>
        <w:t>_______________________________________________</w:t>
      </w:r>
    </w:p>
    <w:p/>
    <w:p>
      <w:pPr>
        <w:jc w:val="center"/>
      </w:pPr>
      <w:r>
        <w:rPr>
          <w:b/>
        </w:rPr>
        <w:t>SENATE BILL 6487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Baumgartner, Angel, Dansel, Braun, Brown, Bailey, Warnick, Honeyford, King, Hewitt, and Dammeier</w:t>
      </w:r>
    </w:p>
    <w:p/>
    <w:p>
      <w:r>
        <w:rPr>
          <w:t xml:space="preserve">Read first time 01/22/16.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force in self-defense; amending RCW 9A.16.020 and 9A.16.050; and adding new sections to chapter 9A.16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020</w:t>
      </w:r>
      <w:r>
        <w:rPr/>
        <w:t xml:space="preserve"> and 1986 c 149 s 2 are each amended to read as follows:</w:t>
      </w:r>
    </w:p>
    <w:p>
      <w:pPr>
        <w:spacing w:before="0" w:after="0" w:line="408" w:lineRule="exact"/>
        <w:ind w:left="0" w:right="0" w:firstLine="576"/>
        <w:jc w:val="left"/>
      </w:pPr>
      <w:r>
        <w:rPr/>
        <w:t xml:space="preserve">The use, attempt, or offer to use force upon or toward the person of another is not unlawful in the following cases:</w:t>
      </w:r>
    </w:p>
    <w:p>
      <w:pPr>
        <w:spacing w:before="0" w:after="0" w:line="408" w:lineRule="exact"/>
        <w:ind w:left="0" w:right="0" w:firstLine="576"/>
        <w:jc w:val="left"/>
      </w:pPr>
      <w:r>
        <w:rPr/>
        <w:t xml:space="preserve">(1) Whenever necessarily used by a public officer in the performance of a legal duty, or a person assisting the officer and acting under the officer's direction;</w:t>
      </w:r>
    </w:p>
    <w:p>
      <w:pPr>
        <w:spacing w:before="0" w:after="0" w:line="408" w:lineRule="exact"/>
        <w:ind w:left="0" w:right="0" w:firstLine="576"/>
        <w:jc w:val="left"/>
      </w:pPr>
      <w:r>
        <w:rPr/>
        <w:t xml:space="preserve">(2) Whenever necessarily used by a person arresting one who has committed a felony and delivering him or her to a public officer competent to receive him or her into custody;</w:t>
      </w:r>
    </w:p>
    <w:p>
      <w:pPr>
        <w:spacing w:before="0" w:after="0" w:line="408" w:lineRule="exact"/>
        <w:ind w:left="0" w:right="0" w:firstLine="576"/>
        <w:jc w:val="left"/>
      </w:pPr>
      <w:r>
        <w:rPr/>
        <w:t xml:space="preserve">(3) Whenever used by a party about to be injured, or by another lawfully aiding him or her, in preventing or attempting to prevent an offense against his or her person, or a malicious trespass, or other malicious interference with real or personal property lawfully in his or her possession, in case the force is not more than is necessary </w:t>
      </w:r>
      <w:r>
        <w:rPr>
          <w:u w:val="single"/>
        </w:rPr>
        <w:t xml:space="preserve">or is permitted pursuant to RCW 9A.16.050</w:t>
      </w:r>
      <w:r>
        <w:rPr/>
        <w:t xml:space="preserve">;</w:t>
      </w:r>
    </w:p>
    <w:p>
      <w:pPr>
        <w:spacing w:before="0" w:after="0" w:line="408" w:lineRule="exact"/>
        <w:ind w:left="0" w:right="0" w:firstLine="576"/>
        <w:jc w:val="left"/>
      </w:pPr>
      <w:r>
        <w:rPr/>
        <w:t xml:space="preserve">(4) Whenever reasonably used by a person to detain someone who enters or remains unlawfully in a building or on real property lawfully in the possession of such person, so long as such detention is reasonable in duration and manner to investigate the reason for the detained person's presence on the premises, and so long as the premises in question did not reasonably appear to be intended to be open to members of the public;</w:t>
      </w:r>
    </w:p>
    <w:p>
      <w:pPr>
        <w:spacing w:before="0" w:after="0" w:line="408" w:lineRule="exact"/>
        <w:ind w:left="0" w:right="0" w:firstLine="576"/>
        <w:jc w:val="left"/>
      </w:pPr>
      <w:r>
        <w:rPr/>
        <w:t xml:space="preserve">(5) Whenever used by a carrier of passengers or the carrier's authorized agent or servant, or other person assisting them at their request in expelling from a carriage, railway car, vessel, or other vehicle, a passenger who refuses to obey a lawful and reasonable regulation prescribed for the conduct of passengers, if such vehicle has first been stopped and the force used is not more than is necessary to expel the offender with reasonable regard to the offender's personal safety;</w:t>
      </w:r>
    </w:p>
    <w:p>
      <w:pPr>
        <w:spacing w:before="0" w:after="0" w:line="408" w:lineRule="exact"/>
        <w:ind w:left="0" w:right="0" w:firstLine="576"/>
        <w:jc w:val="left"/>
      </w:pPr>
      <w:r>
        <w:rPr/>
        <w:t xml:space="preserve">(6) Whenever used by any person to prevent a mentally ill, mentally incompetent, or mentally disabled person from committing an act dangerous to any person, or in enforcing necessary restraint for the protection or restoration to health of the person, during such period only as is necessary to obtain legal authority for the restraint or custody of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050</w:t>
      </w:r>
      <w:r>
        <w:rPr/>
        <w:t xml:space="preserve"> and 2011 c 336 s 354 are each amended to read as follows:</w:t>
      </w:r>
    </w:p>
    <w:p>
      <w:pPr>
        <w:spacing w:before="0" w:after="0" w:line="408" w:lineRule="exact"/>
        <w:ind w:left="0" w:right="0" w:firstLine="576"/>
        <w:jc w:val="left"/>
      </w:pPr>
      <w:r>
        <w:rPr>
          <w:u w:val="single"/>
        </w:rPr>
        <w:t xml:space="preserve">(1)</w:t>
      </w:r>
      <w:r>
        <w:rPr/>
        <w:t xml:space="preserve"> Homicide is also justifiable when committed </w:t>
      </w:r>
      <w:r>
        <w:t>((</w:t>
      </w:r>
      <w:r>
        <w:rPr>
          <w:strike/>
        </w:rPr>
        <w:t xml:space="preserve">either</w:t>
      </w:r>
      <w:r>
        <w: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the lawful defense of the slayer, or his or her husband, wife, parent, child, brother, or sister, or of any other person in his or her presence or company, when there is reasonable ground to apprehend a design on the part of the person slain to commit a felony or to do some great personal injury to the slayer or to any such person, and there is imminent danger of such design being accomplished</w:t>
      </w:r>
      <w:r>
        <w:t>((</w:t>
      </w:r>
      <w:r>
        <w:rPr>
          <w:strike/>
        </w:rPr>
        <w:t xml:space="preserve">; or</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In the actual resistance of an attempt to commit a felony upon the slayer, in his or her presence, or upon or in a dwelling, </w:t>
      </w:r>
      <w:r>
        <w:t>((</w:t>
      </w:r>
      <w:r>
        <w:rPr>
          <w:strike/>
        </w:rPr>
        <w:t xml:space="preserve">or</w:t>
      </w:r>
      <w:r>
        <w:t>))</w:t>
      </w:r>
      <w:r>
        <w:rPr/>
        <w:t xml:space="preserve"> </w:t>
      </w:r>
      <w:r>
        <w:rPr>
          <w:u w:val="single"/>
        </w:rPr>
        <w:t xml:space="preserve">residence,</w:t>
      </w:r>
      <w:r>
        <w:rPr/>
        <w:t xml:space="preserve"> other place of abode, </w:t>
      </w:r>
      <w:r>
        <w:rPr>
          <w:u w:val="single"/>
        </w:rPr>
        <w:t xml:space="preserve">or occupied vehicle</w:t>
      </w:r>
      <w:r>
        <w:rPr/>
        <w:t xml:space="preserve"> in which he or she is</w:t>
      </w:r>
      <w:r>
        <w:rPr>
          <w:u w:val="single"/>
        </w:rPr>
        <w:t xml:space="preserve">;</w:t>
      </w:r>
    </w:p>
    <w:p>
      <w:pPr>
        <w:spacing w:before="0" w:after="0" w:line="408" w:lineRule="exact"/>
        <w:ind w:left="0" w:right="0" w:firstLine="576"/>
        <w:jc w:val="left"/>
      </w:pPr>
      <w:r>
        <w:rPr>
          <w:u w:val="single"/>
        </w:rPr>
        <w:t xml:space="preserve">(c) In the event the slayer had a reasonable fear of imminent peril of death or great bodily harm to himself, herself, or another person in a dwelling, residence, other place of abode, or occupied vehicle.</w:t>
      </w:r>
    </w:p>
    <w:p>
      <w:pPr>
        <w:spacing w:before="0" w:after="0" w:line="408" w:lineRule="exact"/>
        <w:ind w:left="0" w:right="0" w:firstLine="576"/>
        <w:jc w:val="left"/>
      </w:pPr>
      <w:r>
        <w:rPr>
          <w:u w:val="single"/>
        </w:rPr>
        <w:t xml:space="preserve">(2) Under subsection (1) of this section, a person does not have a duty to retreat if the person is in a place where he or she has a right to be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presumed to have held a reasonable fear of imminent peril of death or great bodily harm to himself or herself or another person when using deadly force pursuant to RCW 9A.16.050(1)(c) if:</w:t>
      </w:r>
    </w:p>
    <w:p>
      <w:pPr>
        <w:spacing w:before="0" w:after="0" w:line="408" w:lineRule="exact"/>
        <w:ind w:left="0" w:right="0" w:firstLine="576"/>
        <w:jc w:val="left"/>
      </w:pPr>
      <w:r>
        <w:rPr/>
        <w:t xml:space="preserve">(a) The person against whom the deadly force was used was in the process of unlawfully and forcefully entering or had unlawfully and forcibly entered a dwelling, residence, other place of abode, or occupied vehicle, or if that person had removed or was attempting to remove another against that person's will from a dwelling, residence, other place of abode, or occupied vehicle; and</w:t>
      </w:r>
    </w:p>
    <w:p>
      <w:pPr>
        <w:spacing w:before="0" w:after="0" w:line="408" w:lineRule="exact"/>
        <w:ind w:left="0" w:right="0" w:firstLine="576"/>
        <w:jc w:val="left"/>
      </w:pPr>
      <w:r>
        <w:rPr/>
        <w:t xml:space="preserve">(b) The person who uses deadly force knew or had reason to believe that an unlawful and forcible entry or unlawful and forcible act was occurring or had occurred.</w:t>
      </w:r>
    </w:p>
    <w:p>
      <w:pPr>
        <w:spacing w:before="0" w:after="0" w:line="408" w:lineRule="exact"/>
        <w:ind w:left="0" w:right="0" w:firstLine="576"/>
        <w:jc w:val="left"/>
      </w:pPr>
      <w:r>
        <w:rPr/>
        <w:t xml:space="preserve">(2) The presumption set forth in subsection (1) of this section does not apply if:</w:t>
      </w:r>
    </w:p>
    <w:p>
      <w:pPr>
        <w:spacing w:before="0" w:after="0" w:line="408" w:lineRule="exact"/>
        <w:ind w:left="0" w:right="0" w:firstLine="576"/>
        <w:jc w:val="left"/>
      </w:pPr>
      <w:r>
        <w:rPr/>
        <w:t xml:space="preserve">(a) The person against whom the deadly force is used has the right to be in or is a lawful resident of the dwelling, residence, other place of abode, or vehicle, such as an owner, lessee, or titleholder, and there is not an injunction for protection from domestic violence or a written pretrial supervision order of no contact against that person;</w:t>
      </w:r>
    </w:p>
    <w:p>
      <w:pPr>
        <w:spacing w:before="0" w:after="0" w:line="408" w:lineRule="exact"/>
        <w:ind w:left="0" w:right="0" w:firstLine="576"/>
        <w:jc w:val="left"/>
      </w:pPr>
      <w:r>
        <w:rPr/>
        <w:t xml:space="preserve">(b) The person sought to be removed is a child or grandchild, or is otherwise in the lawful custody or under the lawful guardianship of, the person against whom the deadly force is used;</w:t>
      </w:r>
    </w:p>
    <w:p>
      <w:pPr>
        <w:spacing w:before="0" w:after="0" w:line="408" w:lineRule="exact"/>
        <w:ind w:left="0" w:right="0" w:firstLine="576"/>
        <w:jc w:val="left"/>
      </w:pPr>
      <w:r>
        <w:rPr/>
        <w:t xml:space="preserve">(c) The person who uses deadly force is engaged in an unlawful activity or is using the dwelling, residence, other place of abode, or vehicle to further an unlawful activity; or</w:t>
      </w:r>
    </w:p>
    <w:p>
      <w:pPr>
        <w:spacing w:before="0" w:after="0" w:line="408" w:lineRule="exact"/>
        <w:ind w:left="0" w:right="0" w:firstLine="576"/>
        <w:jc w:val="left"/>
      </w:pPr>
      <w:r>
        <w:rPr/>
        <w:t xml:space="preserve">(d) The person against whom the deadly force is used is a general or limited authority Washington peace officer, as defined in RCW 10.93.020, who enters or attempts to enter a dwelling, residence, other place of abode, or vehicle in the performance of his or her official duties and the officer identifies himself or herself in accordance with any applicable law or the person using force knew or reasonably should have known that the person entering or attempting to enter was a law enforcement officer.</w:t>
      </w:r>
    </w:p>
    <w:p>
      <w:pPr>
        <w:spacing w:before="0" w:after="0" w:line="408" w:lineRule="exact"/>
        <w:ind w:left="0" w:right="0" w:firstLine="576"/>
        <w:jc w:val="left"/>
      </w:pPr>
      <w:r>
        <w:rPr/>
        <w:t xml:space="preserve">(3) A person who unlawfully and by force enters or attempts to enter a person's dwelling, residence, other place of abode, or occupied vehicle is presumed to be doing so with the intent to commit an unlawful act involving force or violence.</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"Dwelling" means any building or structure, including any attached porch, though moveable or temporary, or a portion thereof, which is used or ordinarily used by a person for lodging.</w:t>
      </w:r>
    </w:p>
    <w:p>
      <w:pPr>
        <w:spacing w:before="0" w:after="0" w:line="408" w:lineRule="exact"/>
        <w:ind w:left="0" w:right="0" w:firstLine="576"/>
        <w:jc w:val="left"/>
      </w:pPr>
      <w:r>
        <w:rPr/>
        <w:t xml:space="preserve">(b) "Residence" means a dwelling in which a person resides either temporarily or permanently or is visiting as an invited guest.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uses force as permitted in RCW 9A.16.020 or 9A.16.050, is justified in using such force and is immune from criminal prosecution for the use of such force and from civil liability for injuries or death resulting from the use of such force, unless the person against whom force was used was a general or limited authority Washington peace officer, as defined in RCW 10.93.020, who was acting in the performance of his or her official duties and the officer identifies himself or herself in accordance with any applicable law or the person using force knew or reasonably should have known that the person was a law enforcement officer. As used in this subsection, "criminal prosecution" includes arresting, detaining in custody, and charging or prosecuting the defendant.</w:t>
      </w:r>
    </w:p>
    <w:p>
      <w:pPr>
        <w:spacing w:before="0" w:after="0" w:line="408" w:lineRule="exact"/>
        <w:ind w:left="0" w:right="0" w:firstLine="576"/>
        <w:jc w:val="left"/>
      </w:pPr>
      <w:r>
        <w:rPr/>
        <w:t xml:space="preserve">(2) A law enforcement agency may use standard procedures for investigating the use of force as described in subsection (1) of this section, but the agency may not arrest the person for using force unless it determines that there is probable cause that the force that was used was unlawful.</w:t>
      </w:r>
    </w:p>
    <w:p>
      <w:pPr>
        <w:spacing w:before="0" w:after="0" w:line="408" w:lineRule="exact"/>
        <w:ind w:left="0" w:right="0" w:firstLine="576"/>
        <w:jc w:val="left"/>
      </w:pPr>
      <w:r>
        <w:rPr/>
        <w:t xml:space="preserve">(3) The court shall award reasonable attorneys' fees, court costs, compensation for loss of income, and all expenses incurred by the defendant of any civil action brought by a plaintiff if the court finds that the defendant is immune from prosecution as provided in subsection (1) of this section.</w:t>
      </w:r>
    </w:p>
    <w:p/>
    <w:p>
      <w:pPr>
        <w:jc w:val="center"/>
      </w:pPr>
      <w:r>
        <w:rPr>
          <w:b/>
        </w:rPr>
        <w:t>--- END ---</w:t>
      </w:r>
    </w:p>
    <w:sectPr>
      <w:pgNumType w:start="1"/>
      <w:footerReference xmlns:r="http://schemas.openxmlformats.org/officeDocument/2006/relationships" r:id="Rf2759182e8514b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ba700967e4ddc" /><Relationship Type="http://schemas.openxmlformats.org/officeDocument/2006/relationships/footer" Target="/word/footer.xml" Id="Rf2759182e8514bd4" /></Relationships>
</file>