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6a1dc86b3d4be3" /></Relationships>
</file>

<file path=word/document.xml><?xml version="1.0" encoding="utf-8"?>
<w:document xmlns:w="http://schemas.openxmlformats.org/wordprocessingml/2006/main">
  <w:body>
    <w:p>
      <w:r>
        <w:t>S-3665.1</w:t>
      </w:r>
    </w:p>
    <w:p>
      <w:pPr>
        <w:jc w:val="center"/>
      </w:pPr>
      <w:r>
        <w:t>_______________________________________________</w:t>
      </w:r>
    </w:p>
    <w:p/>
    <w:p>
      <w:pPr>
        <w:jc w:val="center"/>
      </w:pPr>
      <w:r>
        <w:rPr>
          <w:b/>
        </w:rPr>
        <w:t>SENATE BILL 6470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Hasegawa, Conway, Keiser, Hewitt, Rivers, and Chase</w:t>
      </w:r>
    </w:p>
    <w:p/>
    <w:p>
      <w:r>
        <w:rPr>
          <w:t xml:space="preserve">Read first time 01/21/16.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alcoholic beverages; amending RCW 66.24.380, 66.12.110, 66.12.120, 66.12.240, 66.20.170, 66.20.180, 66.20.190, 66.20.200, 66.20.210, 66.24.210, 66.28.030, 66.28.035, 66.28.040, and 66.44.350; reenacting and amending RCW 66.24.170 and 66.20.010;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t>
      </w:r>
      <w:r>
        <w:rPr>
          <w:u w:val="single"/>
        </w:rPr>
        <w:t xml:space="preserve">A domestic winery licensed under this section may apply to the board for an endorsement to sell wine of its own production at retail for off-premises consumption at an event which holds a special occasion license under RCW 66.24.380. The domestic winery is entitled to the proceeds of its retail sales at the licensed event. At such an event, the winery must comply with all applicable laws relating to the retail sale of alcohol for off-premises consumption. The annual fee for this endorsement is seventy-five dollars.</w:t>
      </w:r>
    </w:p>
    <w:p>
      <w:pPr>
        <w:spacing w:before="0" w:after="0" w:line="408" w:lineRule="exact"/>
        <w:ind w:left="0" w:right="0" w:firstLine="576"/>
        <w:jc w:val="left"/>
      </w:pPr>
      <w:r>
        <w:rPr>
          <w:u w:val="single"/>
        </w:rPr>
        <w:t xml:space="preserve">(7)</w:t>
      </w:r>
      <w:r>
        <w:rPr/>
        <w:t xml:space="preserve">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shall not require a special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t xml:space="preserve">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t xml:space="preserve">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20b393cfba424d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b080fcadcd4811" /><Relationship Type="http://schemas.openxmlformats.org/officeDocument/2006/relationships/footer" Target="/word/footer.xml" Id="R20b393cfba424df7" /></Relationships>
</file>