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1125bff96a43a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6455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Dammeier, Rolfes, Litzow, Billig, Rivers, Conway,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professional educator workforce by increasing career opportunities in education, creating a more robust enrollment forecasting, and enhancing recruitment efforts; amending RCW 43.88C.010, 28A.660.050, 28A.410.250, and 28B.15.558; adding a new section to chapter 41.32 RCW; adding a new section to chapter 28A.660 RCW; adding a new section to chapter 28A.410 RCW; adding new sections to chapter 43.131 RCW; creating new sections;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the state is facing an unpreceded shortage of teachers and substitute teachers. According to a study by the professional educator standards board, nearly half of all new teachers leave the workforce within the first five years of teaching. The legislature recognizes that strengthening the educator workforce is essential to successfully implement ongoing educational reforms and increase student achievement. In order to accomplish this, the legislature finds an immediate need for allowing retired teachers to reenter the workforce without penalty of pension benefits, adequate student enrollment forecasting, additional funding for the alternative routes and educator retooling programs, and enhancements to recruitment.</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RETURNING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of the teachers' retirement system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the number of hours that would permit a substitute teacher to work full-time for ninety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six hundred thirty hours per school year without suspension of his or her benefit, provided that: (1) The retired teacher reenters employment more than one calendar month after his or her accrual date and after the effective date of this section, (2) the retired teacher is employed exclusively as a substitute teacher as defined in RCW 41.32.010(48)(a) in an instructional capacity, as opposed to other capacities identified in RCW 41.32.010(49), and (3) the employing school district compensates the district's substitute teachers at a level that is at least equal to the full daily amount allocated by the state to the district for substitute teacher compensation.</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STUDENT ENROLLMENT FORECASTING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 Forecasting entitlement requirements in the common school system at the district level is subject to appropriations specifically provided for this purpose</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"GROW YOUR OWN"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0" w:after="0" w:line="408" w:lineRule="exact"/>
        <w:ind w:left="0" w:right="0" w:firstLine="576"/>
        <w:jc w:val="left"/>
      </w:pPr>
      <w:r>
        <w:rPr>
          <w:u w:val="single"/>
        </w:rPr>
        <w:t xml:space="preserve">(7)(a) Additional eligible teacher certification areas may be awarded by the professional educator standards board for the pipeline for paraeducators conditional scholarship program provided in subsection (2)(b) of this section. These additional teacher certification areas are bilingual education, elementary education, computer science education, and early childhood education.</w:t>
      </w:r>
    </w:p>
    <w:p>
      <w:pPr>
        <w:spacing w:before="0" w:after="0" w:line="408" w:lineRule="exact"/>
        <w:ind w:left="0" w:right="0" w:firstLine="576"/>
        <w:jc w:val="left"/>
      </w:pPr>
      <w:r>
        <w:rPr>
          <w:u w:val="single"/>
        </w:rPr>
        <w:t xml:space="preserve">(b) Additional eligible teacher certification areas may be awarded by the professional educator standards board for the educator retooling conditional scholarship program provided in subsection (2)(c) of this section. These additional teacher certification areas are elementary education and early childhood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302</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alternative route conditional scholarships provided in RCW 28A.660.050(7). This performance statement is intended only to be used for subsequent evaluation of the expansion of this program for expanded scholarships provided for bilingual education, elementary education, computer science education, and early childhood education endorsements.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bilingual education, elementary education, computer science education, and early childhood education at the state's institutions of higher education. By expanding the alternative route conditional scholarships for the endorsement areas, the legislature intends to achieve the following outcomes:</w:t>
      </w:r>
    </w:p>
    <w:p>
      <w:pPr>
        <w:spacing w:before="0" w:after="0" w:line="408" w:lineRule="exact"/>
        <w:ind w:left="0" w:right="0" w:firstLine="576"/>
        <w:jc w:val="left"/>
      </w:pPr>
      <w:r>
        <w:rPr/>
        <w:t xml:space="preserve">(a) Reduce statewide teacher shortages in grades kindergarten through three, computer science, and bilingual instruction;</w:t>
      </w:r>
    </w:p>
    <w:p>
      <w:pPr>
        <w:spacing w:before="0" w:after="0" w:line="408" w:lineRule="exact"/>
        <w:ind w:left="0" w:right="0" w:firstLine="576"/>
        <w:jc w:val="left"/>
      </w:pPr>
      <w:r>
        <w:rPr/>
        <w:t xml:space="preserve">(b) Increase applications for the alternative route conditional scholarships for the bilingual education, elementary education, computer science education, and early childhood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alternative route conditional scholarship, or the future teachers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bilingual education, elementary education, computer science education, and early childhood education endorsements in the alternative route conditional scholarship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RCW 28A.660.050(7), the joint legislative audit and review committee may require the professional educator standards board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2026, the joint legislative audit and review committee must review the program expanded by chapter . . ., Laws of 2016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0" w:after="0" w:line="408" w:lineRule="exact"/>
        <w:ind w:left="0" w:right="0" w:firstLine="576"/>
        <w:jc w:val="left"/>
      </w:pPr>
      <w:r>
        <w:rPr/>
        <w:t xml:space="preserve">(6) This section expires July 1, 2026.</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TEACHER RECRUITMENT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w:t>
      </w:r>
      <w:r>
        <w:rPr>
          <w:u w:val="single"/>
        </w:rPr>
        <w:t xml:space="preserve">Except as provided in section 402 of this act, i</w:t>
      </w:r>
      <w:r>
        <w:rPr/>
        <w:t xml:space="preserve">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w:t>
      </w:r>
      <w:r>
        <w:rPr>
          <w:u w:val="single"/>
        </w:rPr>
        <w:t xml:space="preserve">if</w:t>
      </w:r>
      <w:r>
        <w:rPr>
          <w:u w:val="single"/>
        </w:rPr>
        <w:t xml:space="preserve"> the teacher holds a valid teaching certificate issued by the national board for professional teaching standards</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In addition to the requirements in RCW 28A.410.250(8), a professional certificate must be issued to a teacher if:</w:t>
      </w:r>
    </w:p>
    <w:p>
      <w:pPr>
        <w:spacing w:before="0" w:after="0" w:line="408" w:lineRule="exact"/>
        <w:ind w:left="0" w:right="0" w:firstLine="576"/>
        <w:jc w:val="left"/>
      </w:pPr>
      <w:r>
        <w:rPr/>
        <w:t xml:space="preserve">(1) The teacher has a continuing or advanced level certificate from another state, or that state's equivalent, issued by the other state; or</w:t>
      </w:r>
    </w:p>
    <w:p>
      <w:pPr>
        <w:spacing w:before="0" w:after="0" w:line="408" w:lineRule="exact"/>
        <w:ind w:left="0" w:right="0" w:firstLine="576"/>
        <w:jc w:val="left"/>
      </w:pPr>
      <w:r>
        <w:rPr/>
        <w:t xml:space="preserve">(2) The teacher has a continuing or advanced level certificate that allows the individual to teach internationally.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professional certification standards for out-of-state teachers, as established in section 402 of this act, are terminated on June 30, 2021, as provided in section 404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Section 402 of this act, as now existing or hereafter amended, is repealed, effective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appropriations specifically provided for this purpose,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2018.</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2015 c 55 s 221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establishing eligibility to receive waivers, institutions of higher education may not discriminate between full-time employees and employees who are employed half-time or more.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Sections 101 and 102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502</w:instrText>
      </w:r>
      <w:r/>
      <w:r>
        <w:rPr>
          <w:b/>
        </w:rPr>
        <w:fldChar w:fldCharType="end"/>
      </w:r>
      <w:r>
        <w:t xml:space="preserve">  </w:t>
      </w:r>
      <w:r>
        <w:rPr/>
        <w:t xml:space="preserve">Section 301 of this act expires July 1, 2026.</w:t>
      </w:r>
    </w:p>
    <w:p/>
    <w:p>
      <w:pPr>
        <w:jc w:val="center"/>
      </w:pPr>
      <w:r>
        <w:rPr>
          <w:b/>
        </w:rPr>
        <w:t>--- END ---</w:t>
      </w:r>
    </w:p>
    <w:sectPr>
      <w:pgNumType w:start="1"/>
      <w:footerReference xmlns:r="http://schemas.openxmlformats.org/officeDocument/2006/relationships" r:id="R0990755c05b64d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9deadbd584dcb" /><Relationship Type="http://schemas.openxmlformats.org/officeDocument/2006/relationships/footer" Target="/word/footer.xml" Id="R0990755c05b64dc6" /></Relationships>
</file>