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e1cfe836a4c23" /></Relationships>
</file>

<file path=word/document.xml><?xml version="1.0" encoding="utf-8"?>
<w:document xmlns:w="http://schemas.openxmlformats.org/wordprocessingml/2006/main">
  <w:body>
    <w:p>
      <w:r>
        <w:t>S-4316.2</w:t>
      </w:r>
    </w:p>
    <w:p>
      <w:pPr>
        <w:jc w:val="center"/>
      </w:pPr>
      <w:r>
        <w:t>_______________________________________________</w:t>
      </w:r>
    </w:p>
    <w:p/>
    <w:p>
      <w:pPr>
        <w:jc w:val="center"/>
      </w:pPr>
      <w:r>
        <w:rPr>
          <w:b/>
        </w:rPr>
        <w:t>SUBSTITUTE SENATE BILL 6455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Dammeier, Rolfes, Litzow, Billig, Rivers, Conway, and McAuliffe)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professional educator workforce by increasing career opportunities in education, creating a more robust enrollment forecasting, and enhancing recruitment efforts; amending RCW 41.32.765, 41.32.875, 43.88C.010, 28A.660.050, and 28A.410.250; creating new sections;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the state is facing an unpreceded shortage of teachers and substitute teachers. According to a study by the professional educator standards board, nearly half of all new teachers leave the workforce within the first five years of teaching. The legislature recognizes that strengthening the educator workforce is essential to successfully implement ongoing educational reforms and increase student achievement. In order to accomplish this, the legislature finds an immediate need for allowing retired teachers to reenter the workforce without penalty of pension benefits, adequate student enrollment forecasting, additional funding for the alternative routes and educator retooling programs, and enhancements to recruitment.</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RETURNING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 </w:t>
      </w:r>
      <w:r>
        <w:rPr>
          <w:u w:val="single"/>
        </w:rPr>
        <w:t xml:space="preserve">Beginning July 1, 2016, and until June 30, 2018,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 </w:t>
      </w:r>
      <w:r>
        <w:rPr>
          <w:u w:val="single"/>
        </w:rPr>
        <w:t xml:space="preserve">Beginning July 1, 2016, and until June 30, 2018,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STUDENT ENROLLMENT FORECASTING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"GROW YOUR OWN"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w:t>
      </w:r>
      <w:r>
        <w:rPr>
          <w:u w:val="single"/>
        </w:rPr>
        <w:t xml:space="preserve">bilingual education, elementary education, computer science education, early childhood education,</w:t>
      </w:r>
      <w:r>
        <w:rPr/>
        <w:t xml:space="preserve">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w:t>
      </w:r>
      <w:r>
        <w:rPr>
          <w:u w:val="single"/>
        </w:rPr>
        <w:t xml:space="preserve">elementary education, early childhood education,</w:t>
      </w:r>
      <w:r>
        <w:rPr/>
        <w:t xml:space="preserve">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TEACHER RECRUITMENT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if:</w:t>
      </w:r>
    </w:p>
    <w:p>
      <w:pPr>
        <w:spacing w:before="0" w:after="0" w:line="408" w:lineRule="exact"/>
        <w:ind w:left="0" w:right="0" w:firstLine="576"/>
        <w:jc w:val="left"/>
      </w:pPr>
      <w:r>
        <w:rPr>
          <w:u w:val="single"/>
        </w:rPr>
        <w:t xml:space="preserve">(a) The teacher holds a valid teaching certificate issued by the national board for professional teaching standards; or</w:t>
      </w:r>
    </w:p>
    <w:p>
      <w:pPr>
        <w:spacing w:before="0" w:after="0" w:line="408" w:lineRule="exact"/>
        <w:ind w:left="0" w:right="0" w:firstLine="576"/>
        <w:jc w:val="left"/>
      </w:pPr>
      <w:r>
        <w:rPr>
          <w:u w:val="single"/>
        </w:rPr>
        <w:t xml:space="preserve">(b) The teacher has a second-level teacher certificate from another state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one million dollars, or as much thereof as may be necessary, is appropriated for the fiscal year ending June 30, 2017, from the general fund to the professional educator standards board in support of the alternative route and educator retooling programs under chapter 28A.660 RCW.</w:t>
      </w:r>
    </w:p>
    <w:p/>
    <w:p>
      <w:pPr>
        <w:jc w:val="center"/>
      </w:pPr>
      <w:r>
        <w:rPr>
          <w:b/>
        </w:rPr>
        <w:t>--- END ---</w:t>
      </w:r>
    </w:p>
    <w:sectPr>
      <w:pgNumType w:start="1"/>
      <w:footerReference xmlns:r="http://schemas.openxmlformats.org/officeDocument/2006/relationships" r:id="R853bd7b5350245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c75f448c9544cf" /><Relationship Type="http://schemas.openxmlformats.org/officeDocument/2006/relationships/footer" Target="/word/footer.xml" Id="R853bd7b535024512" /></Relationships>
</file>