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858915b3d4b7f" /></Relationships>
</file>

<file path=word/document.xml><?xml version="1.0" encoding="utf-8"?>
<w:document xmlns:w="http://schemas.openxmlformats.org/wordprocessingml/2006/main">
  <w:body>
    <w:p>
      <w:r>
        <w:t>S-3924.1</w:t>
      </w:r>
    </w:p>
    <w:p>
      <w:pPr>
        <w:jc w:val="center"/>
      </w:pPr>
      <w:r>
        <w:t>_______________________________________________</w:t>
      </w:r>
    </w:p>
    <w:p/>
    <w:p>
      <w:pPr>
        <w:jc w:val="center"/>
      </w:pPr>
      <w:r>
        <w:rPr>
          <w:b/>
        </w:rPr>
        <w:t>SENATE BILL 6452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Rolfes, Sheldon, Becker, Conway, and Angel</w:t>
      </w:r>
    </w:p>
    <w:p/>
    <w:p>
      <w:r>
        <w:rPr>
          <w:t xml:space="preserve">Read first time 01/21/16.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adding a new section to chapter 26.26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Brandon Jones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If the court enters an order pursuant to subsection (1) of this section disestablishing a man as the father of the child based on genetic testing that shows that he is not the genetic father, the man is, as of the date of the order of disestablishment, discharged from all of the rights and duties of a parent pursuant to subsections (7) and (8) of this section.</w:t>
      </w:r>
    </w:p>
    <w:p>
      <w:pPr>
        <w:spacing w:before="0" w:after="0" w:line="408" w:lineRule="exact"/>
        <w:ind w:left="0" w:right="0" w:firstLine="576"/>
        <w:jc w:val="left"/>
      </w:pPr>
      <w:r>
        <w:rPr/>
        <w:t xml:space="preserve">(3) If the court enters an order disestablishing a man as the father of a child,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 or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acknowledgment of paternity shall be deemed to have been executed on the basis of a material mistake of fact or fraud perpetuated by the child's natural mother pursuant to RCW 9A.60.030 where evidence and genetic testing in accordance with RCW 26.26.410 and 26.26.420 shows that the man who is the signatory of an acknowledgment of paternity is not identified as the father of a child.</w:t>
      </w:r>
    </w:p>
    <w:p>
      <w:pPr>
        <w:spacing w:before="0" w:after="0" w:line="408" w:lineRule="exact"/>
        <w:ind w:left="0" w:right="0" w:firstLine="576"/>
        <w:jc w:val="left"/>
      </w:pPr>
      <w:r>
        <w:rPr/>
        <w:t xml:space="preserve">(7) An order of disestablishment entered under this section must vacate all previous orders of child support if the court finds by clear and convincing evidence that the moving party is not the biological father of the child who is the subject of the support order. The petitioner of the vacated order may bring an action in court against the natural biological mother or natural biological father of the child to obtain restitution for child support previously paid pursuant to any previous or vacated orders.</w:t>
      </w:r>
    </w:p>
    <w:p>
      <w:pPr>
        <w:spacing w:before="0" w:after="0" w:line="408" w:lineRule="exact"/>
        <w:ind w:left="0" w:right="0" w:firstLine="576"/>
        <w:jc w:val="left"/>
      </w:pPr>
      <w:r>
        <w:rPr/>
        <w:t xml:space="preserve">(8) As of the date of the entry of the disestablishment order, the man is not liable for any future child support amounts or other future financial or legal obligations.</w:t>
      </w:r>
    </w:p>
    <w:p>
      <w:pPr>
        <w:spacing w:before="0" w:after="0" w:line="408" w:lineRule="exact"/>
        <w:ind w:left="0" w:right="0" w:firstLine="576"/>
        <w:jc w:val="left"/>
      </w:pPr>
      <w:r>
        <w:rPr/>
        <w:t xml:space="preserve">(9)(a) At any time before the court renders an order terminating the parent-child relationship under this section, the petitioner may request that the court also order periods of visitation of, or access to the child by the petitioner following termination of the parent-child relationship. If requested, the court may order periods of visitation of, or access to, the child only if the court determines that denial of periods of visitation of or access to the child would significantly impair or harm the child's physical health or emotional well-being.</w:t>
      </w:r>
    </w:p>
    <w:p>
      <w:pPr>
        <w:spacing w:before="0" w:after="0" w:line="408" w:lineRule="exact"/>
        <w:ind w:left="0" w:right="0" w:firstLine="576"/>
        <w:jc w:val="left"/>
      </w:pPr>
      <w:r>
        <w:rPr/>
        <w:t xml:space="preserve">(b) During any period of visitation of, or access to, the child ordered under this subsection, the nonparent has the rights and responsibilities of a third party under RCW 26.09.240, subject to any limitation specified by the court in its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only if accompanied by a certified copy of a disestablishment order entered pursuant to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w:t>
      </w:r>
      <w:r>
        <w:t>((</w:t>
      </w:r>
      <w:r>
        <w:rPr>
          <w:strike/>
        </w:rPr>
        <w:t xml:space="preserve">four years after the acknowledgment or denial is filed with the state registrar of vital statistics</w:t>
      </w:r>
      <w:r>
        <w:t>))</w:t>
      </w:r>
      <w:r>
        <w:rPr/>
        <w:t xml:space="preserve"> </w:t>
      </w:r>
      <w:r>
        <w:rPr>
          <w:u w:val="single"/>
        </w:rPr>
        <w:t xml:space="preserve">two years of discovery of evidence of fraud, duress, or material mistake of fact, and brought as an action under section 2 of this act</w:t>
      </w:r>
      <w:r>
        <w:rPr/>
        <w:t xml:space="preserve">.</w:t>
      </w:r>
    </w:p>
    <w:p>
      <w:pPr>
        <w:spacing w:before="0" w:after="0" w:line="408" w:lineRule="exact"/>
        <w:ind w:left="0" w:right="0" w:firstLine="576"/>
        <w:jc w:val="left"/>
      </w:pPr>
      <w:r>
        <w:rPr>
          <w:u w:val="single"/>
        </w:rPr>
        <w:t xml:space="preserve">(2)</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t xml:space="preserve"> </w:t>
      </w:r>
      <w:r>
        <w:rPr>
          <w:u w:val="single"/>
        </w:rPr>
        <w:t xml:space="preserve">(3) In a proceeding brought under section 2 of this act, evidence of genetic testing demonstrating that the man who signed the acknowledgment of paternity is not the father of a child constitutes a material mistake of fact or fraud per RCW 9A.60.030 for the purposes of this section.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w:t>
      </w:r>
      <w:r>
        <w:rPr>
          <w:u w:val="single"/>
        </w:rPr>
        <w:t xml:space="preserve">, adjudicated, acknowledged, or natural</w:t>
      </w:r>
      <w:r>
        <w:rPr/>
        <w:t xml:space="preserve"> parent, the person with a parent-child relationship with the child, or another individual to adjudicate the parentage of a child having a presumed parent must be commenced not later than </w:t>
      </w:r>
      <w:r>
        <w:t>((</w:t>
      </w:r>
      <w:r>
        <w:rPr>
          <w:strike/>
        </w:rPr>
        <w:t xml:space="preserve">four years after the birth of the child</w:t>
      </w:r>
      <w:r>
        <w:t>))</w:t>
      </w:r>
      <w:r>
        <w:rPr/>
        <w:t xml:space="preserve"> </w:t>
      </w:r>
      <w:r>
        <w:rPr>
          <w:u w:val="single"/>
        </w:rPr>
        <w:t xml:space="preserve">two years after the discovery of new evidence showing material mistake of fact or fraud in the determination of the child's parentage</w:t>
      </w:r>
      <w:r>
        <w:rPr/>
        <w:t xml:space="preserve">.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acknowledged, or adjudicated father as the genetic father of the child, regardless of whether the presumed, acknowledged, or adjudicated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2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
      <w:pPr>
        <w:jc w:val="center"/>
      </w:pPr>
      <w:r>
        <w:rPr>
          <w:b/>
        </w:rPr>
        <w:t>--- END ---</w:t>
      </w:r>
    </w:p>
    <w:sectPr>
      <w:pgNumType w:start="1"/>
      <w:footerReference xmlns:r="http://schemas.openxmlformats.org/officeDocument/2006/relationships" r:id="Rdff755e1db7d4b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f40df5f714660" /><Relationship Type="http://schemas.openxmlformats.org/officeDocument/2006/relationships/footer" Target="/word/footer.xml" Id="Rdff755e1db7d4b13" /></Relationships>
</file>