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aa5b7964d9481e" /></Relationships>
</file>

<file path=word/document.xml><?xml version="1.0" encoding="utf-8"?>
<w:document xmlns:w="http://schemas.openxmlformats.org/wordprocessingml/2006/main">
  <w:body>
    <w:p>
      <w:r>
        <w:t>S-3970.1</w:t>
      </w:r>
    </w:p>
    <w:p>
      <w:pPr>
        <w:jc w:val="center"/>
      </w:pPr>
      <w:r>
        <w:t>_______________________________________________</w:t>
      </w:r>
    </w:p>
    <w:p/>
    <w:p>
      <w:pPr>
        <w:jc w:val="center"/>
      </w:pPr>
      <w:r>
        <w:rPr>
          <w:b/>
        </w:rPr>
        <w:t>SENATE BILL 6415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Rivers, Parlette, Cleveland, Bailey, Jayapal, McAuliffe, Ranker, Warnick, Angel, Benton, and Hasegawa</w:t>
      </w:r>
    </w:p>
    <w:p/>
    <w:p>
      <w:r>
        <w:rPr>
          <w:t xml:space="preserve">Read first time 01/20/16.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materials, supplies, and operating costs; amending RCW 28A.150.260; reenacting and amending RCW 28A.150.260;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 </w:t>
      </w:r>
      <w:r>
        <w:rPr>
          <w:u w:val="single"/>
        </w:rPr>
        <w:t xml:space="preserve">at a rate equal or greater than 1.4 times the general education amounts provided in subsection (8)(b) of this section</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w:t>
      </w:r>
      <w:r>
        <w:rPr>
          <w:u w:val="single"/>
        </w:rPr>
        <w:t xml:space="preserve">at a rate equal or greater than 1.4 times the general education amounts provided in subsection (8)(b) of this section</w:t>
      </w:r>
      <w:r>
        <w:rPr/>
        <w:t xml:space="preserve">; and</w:t>
      </w:r>
    </w:p>
    <w:p>
      <w:pPr>
        <w:spacing w:before="0" w:after="0" w:line="408" w:lineRule="exact"/>
        <w:ind w:left="0" w:right="0" w:firstLine="576"/>
        <w:jc w:val="left"/>
      </w:pPr>
      <w:r>
        <w:rPr/>
        <w:t xml:space="preserve">(c) Preparatory career and technical education courses for students in grades eleven and twelve offered through a skill center </w:t>
      </w:r>
      <w:r>
        <w:rPr>
          <w:u w:val="single"/>
        </w:rPr>
        <w:t xml:space="preserve">at a rate equal or greater than 1.245 times the general education amounts provided in subsection (8)(b) of this section</w:t>
      </w:r>
      <w:r>
        <w:rPr/>
        <w:t xml:space="preserve">.</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 </w:t>
      </w:r>
      <w:r>
        <w:rPr>
          <w:u w:val="single"/>
        </w:rPr>
        <w:t xml:space="preserve">at a rate equal or greater than 1.4 times the general education amounts provided in subsection (8)(b) of this section</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w:t>
      </w:r>
      <w:r>
        <w:rPr>
          <w:u w:val="single"/>
        </w:rPr>
        <w:t xml:space="preserve">at a rate equal or greater than 1.4 times the general education amounts provided in subsection (8)(b) of this section</w:t>
      </w:r>
      <w:r>
        <w:rPr/>
        <w:t xml:space="preserve">; and</w:t>
      </w:r>
    </w:p>
    <w:p>
      <w:pPr>
        <w:spacing w:before="0" w:after="0" w:line="408" w:lineRule="exact"/>
        <w:ind w:left="0" w:right="0" w:firstLine="576"/>
        <w:jc w:val="left"/>
      </w:pPr>
      <w:r>
        <w:rPr/>
        <w:t xml:space="preserve">(c) Preparatory career and technical education courses for students in grades eleven and twelve offered through a skill center </w:t>
      </w:r>
      <w:r>
        <w:rPr>
          <w:u w:val="single"/>
        </w:rPr>
        <w:t xml:space="preserve">at a rate equal or greater than 1.245 times the general education amounts provided in subsection (8)(b) of this section</w:t>
      </w:r>
      <w:r>
        <w:rPr/>
        <w:t xml:space="preserve">.</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w:t>
      </w:r>
      <w:r>
        <w:rPr/>
        <w:t xml:space="preserve">this act takes effect September 1, 2022.</w:t>
      </w:r>
    </w:p>
    <w:p/>
    <w:p>
      <w:pPr>
        <w:jc w:val="center"/>
      </w:pPr>
      <w:r>
        <w:rPr>
          <w:b/>
        </w:rPr>
        <w:t>--- END ---</w:t>
      </w:r>
    </w:p>
    <w:sectPr>
      <w:pgNumType w:start="1"/>
      <w:footerReference xmlns:r="http://schemas.openxmlformats.org/officeDocument/2006/relationships" r:id="Rfa5c57ff4d8243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11eced84cc44e3" /><Relationship Type="http://schemas.openxmlformats.org/officeDocument/2006/relationships/footer" Target="/word/footer.xml" Id="Rfa5c57ff4d824351" /></Relationships>
</file>