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af09a2b0b428f" /></Relationships>
</file>

<file path=word/document.xml><?xml version="1.0" encoding="utf-8"?>
<w:document xmlns:w="http://schemas.openxmlformats.org/wordprocessingml/2006/main">
  <w:body>
    <w:p>
      <w:r>
        <w:t>S-3526.1</w:t>
      </w:r>
    </w:p>
    <w:p>
      <w:pPr>
        <w:jc w:val="center"/>
      </w:pPr>
      <w:r>
        <w:t>_______________________________________________</w:t>
      </w:r>
    </w:p>
    <w:p/>
    <w:p>
      <w:pPr>
        <w:jc w:val="center"/>
      </w:pPr>
      <w:r>
        <w:rPr>
          <w:b/>
        </w:rPr>
        <w:t>SENATE BILL 6385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and Roach</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uses of the fire protection contractor license fund; and amending RCW 18.160.050.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2011 c 331 s 2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sixty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sixty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All receipts from license and certificate fees and charges or from the money generated by the rules and regulations promulgated under this chapter shall be deposited into the fund. Expenditures from the fund may be used only for purposes authorized under this chapter and </w:t>
      </w:r>
      <w:r>
        <w:t>((</w:t>
      </w:r>
      <w:r>
        <w:rPr>
          <w:strike/>
        </w:rPr>
        <w:t xml:space="preserve">standards for fire protection and its enforcement, with respect to all hospitals as required by RCW 70.41.080;</w:t>
      </w:r>
      <w:r>
        <w:t>))</w:t>
      </w:r>
      <w:r>
        <w:rPr/>
        <w:t xml:space="preserve">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
      <w:pPr>
        <w:jc w:val="center"/>
      </w:pPr>
      <w:r>
        <w:rPr>
          <w:b/>
        </w:rPr>
        <w:t>--- END ---</w:t>
      </w:r>
    </w:p>
    <w:sectPr>
      <w:pgNumType w:start="1"/>
      <w:footerReference xmlns:r="http://schemas.openxmlformats.org/officeDocument/2006/relationships" r:id="Re42dee14ec464c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faa7681844f91" /><Relationship Type="http://schemas.openxmlformats.org/officeDocument/2006/relationships/footer" Target="/word/footer.xml" Id="Re42dee14ec464c64" /></Relationships>
</file>