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4c7a744314f5e" /></Relationships>
</file>

<file path=word/document.xml><?xml version="1.0" encoding="utf-8"?>
<w:document xmlns:w="http://schemas.openxmlformats.org/wordprocessingml/2006/main">
  <w:body>
    <w:p>
      <w:r>
        <w:t>S-3839.1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6372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Darneille, Rivers, Hargrove, and Braun</w:t>
      </w:r>
    </w:p>
    <w:p/>
    <w:p>
      <w:r>
        <w:rPr>
          <w:t xml:space="preserve">Read first time 01/18/16.  </w:t>
        </w:rPr>
      </w:r>
      <w:r>
        <w:rPr>
          <w:t xml:space="preserve">Referred to Committee on Human Services, Mental Health &amp; Housing.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counties providing and maintaining detention rooms or detention houses; and amending RCW 13.04.135.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13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135</w:t>
      </w:r>
      <w:r>
        <w:rPr/>
        <w:t xml:space="preserve"> and 1983 c 98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Counties containing more than </w:t>
      </w:r>
      <w:r>
        <w:rPr>
          <w:u w:val="single"/>
        </w:rPr>
        <w:t xml:space="preserve">two hundred</w:t>
      </w:r>
      <w:r>
        <w:rPr/>
        <w:t xml:space="preserve"> fifty thousand inhabitants shall, and counties containing a lesser number of inhabitants may, provide and maintain at public expense, a detention room or house of detention, separated or removed from any jail, or police station, to be in charge of a matron, or other person of good character, wherein all children within the provisions of this chapter shall, when necessary, be sheltered.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a8d44cddf20450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6372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1f639cd0e4535" /><Relationship Type="http://schemas.openxmlformats.org/officeDocument/2006/relationships/footer" Target="/word/footer.xml" Id="R7a8d44cddf204504" /></Relationships>
</file>