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a5412b9cb40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6356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Ranker, Takko, McCoy, Hobbs, Litzow, Fain, Hasegawa, and Chase)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personally identifying information and security information of private cloud service providers; and amending RCW 42.56.420.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2013 2nd sp.s. c 33 s 9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agency security, information technology infrastructure, or assets; </w:t>
      </w:r>
      <w:r>
        <w:t>((</w:t>
      </w:r>
      <w:r>
        <w:rPr>
          <w:strike/>
        </w:rPr>
        <w:t xml:space="preserve">and</w:t>
      </w:r>
      <w:r>
        <w:t>))</w:t>
      </w:r>
    </w:p>
    <w:p>
      <w:pPr>
        <w:spacing w:before="0" w:after="0" w:line="408" w:lineRule="exact"/>
        <w:ind w:left="0" w:right="0" w:firstLine="576"/>
        <w:jc w:val="left"/>
      </w:pPr>
      <w:r>
        <w:rPr/>
        <w:t xml:space="preserve">(5) The system security and emergency preparedness plan required under RCW 35.21.228, 35A.21.300, 36.01.210, 36.57.120, 36.57A.170, and 81.112.180</w:t>
      </w:r>
      <w:r>
        <w:rPr>
          <w:u w:val="single"/>
        </w:rPr>
        <w:t xml:space="preserve">; and</w:t>
      </w:r>
    </w:p>
    <w:p>
      <w:pPr>
        <w:spacing w:before="0" w:after="0" w:line="408" w:lineRule="exact"/>
        <w:ind w:left="0" w:right="0" w:firstLine="576"/>
        <w:jc w:val="left"/>
      </w:pPr>
      <w:r>
        <w:rPr>
          <w:u w:val="single"/>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t xml:space="preserve">.</w:t>
      </w:r>
    </w:p>
    <w:p/>
    <w:p>
      <w:pPr>
        <w:jc w:val="center"/>
      </w:pPr>
      <w:r>
        <w:rPr>
          <w:b/>
        </w:rPr>
        <w:t>--- END ---</w:t>
      </w:r>
    </w:p>
    <w:sectPr>
      <w:pgNumType w:start="1"/>
      <w:footerReference xmlns:r="http://schemas.openxmlformats.org/officeDocument/2006/relationships" r:id="R491634d74f7d4f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6148273a394fe9" /><Relationship Type="http://schemas.openxmlformats.org/officeDocument/2006/relationships/footer" Target="/word/footer.xml" Id="R491634d74f7d4fb7" /></Relationships>
</file>