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334e8b3034312" /></Relationships>
</file>

<file path=word/document.xml><?xml version="1.0" encoding="utf-8"?>
<w:document xmlns:w="http://schemas.openxmlformats.org/wordprocessingml/2006/main">
  <w:body>
    <w:p>
      <w:r>
        <w:t>S-3850.1</w:t>
      </w:r>
    </w:p>
    <w:p>
      <w:pPr>
        <w:jc w:val="center"/>
      </w:pPr>
      <w:r>
        <w:t>_______________________________________________</w:t>
      </w:r>
    </w:p>
    <w:p/>
    <w:p>
      <w:pPr>
        <w:jc w:val="center"/>
      </w:pPr>
      <w:r>
        <w:rPr>
          <w:b/>
        </w:rPr>
        <w:t>SENATE BILL 6341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and Conway</w:t>
      </w:r>
    </w:p>
    <w:p/>
    <w:p>
      <w:r>
        <w:rPr>
          <w:t xml:space="preserve">Read first time 01/18/16.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personal services and promotional items by cannabis producers and processors;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Nothing in this chapter prohibits a producer or processor from providing retailers branded promotional items which are of nominal value, singly or in the aggregate. Such items include but are not limited to: Trays, lighters, blotters, postcards, pencils, coasters, clocks, mugs, glasses, bottles or can openers, corkscrews, matches,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producer or processor only;</w:t>
      </w:r>
    </w:p>
    <w:p>
      <w:pPr>
        <w:spacing w:before="0" w:after="0" w:line="408" w:lineRule="exact"/>
        <w:ind w:left="0" w:right="0" w:firstLine="576"/>
        <w:jc w:val="left"/>
      </w:pPr>
      <w:r>
        <w:rPr/>
        <w:t xml:space="preserve">(iii) May be provided by a producer or processor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 producer or processor is not obligated to provide any such branded promotional items, and a retailer may not require a producer or processor to provide such branded promotional items as a condition for selling any cannabis to the retailer.</w:t>
      </w:r>
    </w:p>
    <w:p>
      <w:pPr>
        <w:spacing w:before="0" w:after="0" w:line="408" w:lineRule="exact"/>
        <w:ind w:left="0" w:right="0" w:firstLine="576"/>
        <w:jc w:val="left"/>
      </w:pPr>
      <w:r>
        <w:rPr/>
        <w:t xml:space="preserve">(c) Any producer, processor,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state liquor and cannabis board. Upon receipt of a complaint the state liquor and cannabis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state liquor and cannabis board may issue an administrative violation notice to the producer, processor, or retailer. The recipient of the administrative violation notice may request a hearing under chapter 34.05 RCW.</w:t>
      </w:r>
    </w:p>
    <w:p>
      <w:pPr>
        <w:spacing w:before="0" w:after="0" w:line="408" w:lineRule="exact"/>
        <w:ind w:left="0" w:right="0" w:firstLine="576"/>
        <w:jc w:val="left"/>
      </w:pPr>
      <w:r>
        <w:rPr/>
        <w:t xml:space="preserve">(2) Nothing in this chapter prohibits:</w:t>
      </w:r>
    </w:p>
    <w:p>
      <w:pPr>
        <w:spacing w:before="0" w:after="0" w:line="408" w:lineRule="exact"/>
        <w:ind w:left="0" w:right="0" w:firstLine="576"/>
        <w:jc w:val="left"/>
      </w:pPr>
      <w:r>
        <w:rPr/>
        <w:t xml:space="preserve">(a) Producers or processors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producers or processors whose products those retailers sell or promote, including direct links to the producers or processors' web sites; or</w:t>
      </w:r>
    </w:p>
    <w:p>
      <w:pPr>
        <w:spacing w:before="0" w:after="0" w:line="408" w:lineRule="exact"/>
        <w:ind w:left="0" w:right="0" w:firstLine="576"/>
        <w:jc w:val="left"/>
      </w:pPr>
      <w:r>
        <w:rPr/>
        <w:t xml:space="preserve">(c) Producers, processors, and retailers from producing, jointly or together with regional, state, or local industry associations, brochures and materials promoting tourism in Washington state which contain information regarding retail licensees, producers, processors, and their products.</w:t>
      </w:r>
    </w:p>
    <w:p>
      <w:pPr>
        <w:spacing w:before="0" w:after="0" w:line="408" w:lineRule="exact"/>
        <w:ind w:left="0" w:right="0" w:firstLine="576"/>
        <w:jc w:val="left"/>
      </w:pPr>
      <w:r>
        <w:rPr/>
        <w:t xml:space="preserve">(3) Nothing in this chapter prohibits the performance of personal services offered from time to time by a producer or processor to retailers when the personal services are (a) conducted at a licensed premises, and (b) intended to inform, educate, or enhance customers' knowledge or experience of the manufacturer's products. The performance of personal services may include participation in events and the use of informational or educational activities at the premises of a retailer holding a license under this chapter. A producer or processor is not obligated to perform any such personal services, and a retail licensee may not require a producer or processor to conduct any personal service as a condition for selling cannabis to the retail licensee.</w:t>
      </w:r>
    </w:p>
    <w:p/>
    <w:p>
      <w:pPr>
        <w:jc w:val="center"/>
      </w:pPr>
      <w:r>
        <w:rPr>
          <w:b/>
        </w:rPr>
        <w:t>--- END ---</w:t>
      </w:r>
    </w:p>
    <w:sectPr>
      <w:pgNumType w:start="1"/>
      <w:footerReference xmlns:r="http://schemas.openxmlformats.org/officeDocument/2006/relationships" r:id="R0138e60105994d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d68e20d8a4b17" /><Relationship Type="http://schemas.openxmlformats.org/officeDocument/2006/relationships/footer" Target="/word/footer.xml" Id="R0138e60105994dbd" /></Relationships>
</file>