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453220d2e7443b" /></Relationships>
</file>

<file path=word/document.xml><?xml version="1.0" encoding="utf-8"?>
<w:document xmlns:w="http://schemas.openxmlformats.org/wordprocessingml/2006/main">
  <w:body>
    <w:p>
      <w:r>
        <w:t>S-4385.2</w:t>
      </w:r>
    </w:p>
    <w:p>
      <w:pPr>
        <w:jc w:val="center"/>
      </w:pPr>
      <w:r>
        <w:t>_______________________________________________</w:t>
      </w:r>
    </w:p>
    <w:p/>
    <w:p>
      <w:pPr>
        <w:jc w:val="center"/>
      </w:pPr>
      <w:r>
        <w:rPr>
          <w:b/>
        </w:rPr>
        <w:t>SUBSTITUTE SENATE BILL 6335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Parlette, Cleveland, and Becker)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facility case mix classification methodology; and amending RCW 74.46.485.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2011 1st sp.s. c 7 s 4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Employ the resource utilization group </w:t>
      </w:r>
      <w:r>
        <w:t>((</w:t>
      </w:r>
      <w:r>
        <w:rPr>
          <w:strike/>
        </w:rPr>
        <w:t xml:space="preserve">III</w:t>
      </w:r>
      <w:r>
        <w:t>))</w:t>
      </w:r>
      <w:r>
        <w:rPr/>
        <w:t xml:space="preserve"> </w:t>
      </w:r>
      <w:r>
        <w:rPr>
          <w:u w:val="single"/>
        </w:rPr>
        <w:t xml:space="preserve">IV</w:t>
      </w:r>
      <w:r>
        <w:rPr/>
        <w:t xml:space="preserve"> case mix classification methodology. The department shall use the </w:t>
      </w:r>
      <w:r>
        <w:t>((</w:t>
      </w:r>
      <w:r>
        <w:rPr>
          <w:strike/>
        </w:rPr>
        <w:t xml:space="preserve">forty-four</w:t>
      </w:r>
      <w:r>
        <w:t>))</w:t>
      </w:r>
      <w:r>
        <w:rPr/>
        <w:t xml:space="preserve"> </w:t>
      </w:r>
      <w:r>
        <w:rPr>
          <w:u w:val="single"/>
        </w:rPr>
        <w:t xml:space="preserve">fifty-seven</w:t>
      </w:r>
      <w:r>
        <w:rPr/>
        <w:t xml:space="preserve"> group index maximizing model for the resource utilization group </w:t>
      </w:r>
      <w:r>
        <w:t>((</w:t>
      </w:r>
      <w:r>
        <w:rPr>
          <w:strike/>
        </w:rPr>
        <w:t xml:space="preserve">III</w:t>
      </w:r>
      <w:r>
        <w:t>))</w:t>
      </w:r>
      <w:r>
        <w:rPr/>
        <w:t xml:space="preserve"> </w:t>
      </w:r>
      <w:r>
        <w:rPr>
          <w:u w:val="single"/>
        </w:rPr>
        <w:t xml:space="preserve">IV</w:t>
      </w:r>
      <w:r>
        <w:rPr/>
        <w:t xml:space="preserve"> grouper version </w:t>
      </w:r>
      <w:r>
        <w:t>((</w:t>
      </w:r>
      <w:r>
        <w:rPr>
          <w:strike/>
        </w:rPr>
        <w:t xml:space="preserve">5.10</w:t>
      </w:r>
      <w:r>
        <w:t>))</w:t>
      </w:r>
      <w:r>
        <w:rPr/>
        <w:t xml:space="preserve">, but the department may revise or update the classification methodology to reflect advances or refinements in resident assessment or classification, subject to federal requirements. The department may </w:t>
      </w:r>
      <w:r>
        <w:rPr>
          <w:u w:val="single"/>
        </w:rPr>
        <w:t xml:space="preserve">not</w:t>
      </w:r>
      <w:r>
        <w:rPr/>
        <w:t xml:space="preserve"> adjust </w:t>
      </w:r>
      <w:r>
        <w:t>((</w:t>
      </w:r>
      <w:r>
        <w:rPr>
          <w:strike/>
        </w:rPr>
        <w:t xml:space="preserve">the</w:t>
      </w:r>
      <w:r>
        <w:t>))</w:t>
      </w:r>
      <w:r>
        <w:rPr/>
        <w:t xml:space="preserve"> </w:t>
      </w:r>
      <w:r>
        <w:rPr>
          <w:u w:val="single"/>
        </w:rPr>
        <w:t xml:space="preserve">any resource utilization group</w:t>
      </w:r>
      <w:r>
        <w:rPr/>
        <w:t xml:space="preserve"> case mix index </w:t>
      </w:r>
      <w:r>
        <w:t>((</w:t>
      </w:r>
      <w:r>
        <w:rPr>
          <w:strike/>
        </w:rPr>
        <w:t xml:space="preserve">for any of the lowest ten resource utilization group categories beginning with PA1 through PE2 to any case mix index that aids</w:t>
      </w:r>
      <w:r>
        <w:t>))</w:t>
      </w:r>
      <w:r>
        <w:rPr/>
        <w:t xml:space="preserve"> </w:t>
      </w:r>
      <w:r>
        <w:rPr>
          <w:u w:val="single"/>
        </w:rPr>
        <w:t xml:space="preserve">with the exception of the ten lowest case mix indices, based on the assigned numeric weights, and the categories of PC1 and PC2 when no behavior code is associated with the individual resident's assessment. Resource utilization groups may only be adjusted by the department if necessary to aid</w:t>
      </w:r>
      <w:r>
        <w:rPr/>
        <w:t xml:space="preserve"> in achieving the purpose and intent of RCW 74.39A.007 and cost</w:t>
      </w:r>
      <w:r>
        <w:rPr/>
        <w:noBreakHyphen/>
      </w:r>
      <w:r>
        <w:rPr/>
        <w:t xml:space="preserve">efficient care; and</w:t>
      </w:r>
    </w:p>
    <w:p>
      <w:pPr>
        <w:spacing w:before="0" w:after="0" w:line="408" w:lineRule="exact"/>
        <w:ind w:left="0" w:right="0" w:firstLine="576"/>
        <w:jc w:val="left"/>
      </w:pPr>
      <w:r>
        <w:rPr/>
        <w:t xml:space="preserve">(b) Implement minimum data set 3.0 under the authority of this section </w:t>
      </w:r>
      <w:r>
        <w:t>((</w:t>
      </w:r>
      <w:r>
        <w:rPr>
          <w:strike/>
        </w:rPr>
        <w:t xml:space="preserve">and RCW 74.46.431(3)</w:t>
      </w:r>
      <w:r>
        <w:t>))</w:t>
      </w:r>
      <w:r>
        <w:rPr/>
        <w:t xml:space="preserve">.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p>
    <w:p>
      <w:pPr>
        <w:spacing w:before="0" w:after="0" w:line="408" w:lineRule="exact"/>
        <w:ind w:left="0" w:right="0" w:firstLine="576"/>
        <w:jc w:val="left"/>
      </w:pPr>
      <w:r>
        <w:rPr/>
        <w:t xml:space="preserve">(2)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rPr/>
        <w:t xml:space="preserve">(3) A default case mix group may also be established for cases in which there is an untimely assessment for the resident. The default case mix group and case mix weight for these cases shall be designated by the department.</w:t>
      </w:r>
    </w:p>
    <w:p/>
    <w:p>
      <w:pPr>
        <w:jc w:val="center"/>
      </w:pPr>
      <w:r>
        <w:rPr>
          <w:b/>
        </w:rPr>
        <w:t>--- END ---</w:t>
      </w:r>
    </w:p>
    <w:sectPr>
      <w:pgNumType w:start="1"/>
      <w:footerReference xmlns:r="http://schemas.openxmlformats.org/officeDocument/2006/relationships" r:id="Rb040db1c16d445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a2e53c443f44eb" /><Relationship Type="http://schemas.openxmlformats.org/officeDocument/2006/relationships/footer" Target="/word/footer.xml" Id="Rb040db1c16d4451c" /></Relationships>
</file>