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375d288b4d4b3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6334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Benton, Chase, Rivers, Cleveland, Warnick, Hobbs, King, and Sheldon)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36.70A.070, and 36.70A.108;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The plan makes clear that ensuring the availability of rail capacity is vital to meeting the future needs of the Puget Sound region. Rail-served industrial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A one hundred ten-car train can move roughly the equivalent freight of five hundred trucks. This saves highway maintenance, improves safety for nonfreight drivers, and reduces carbon emissions. The number of fatalities per billion ton-miles for trucking is more than nine times greater than compared to rail. The legislature affirms that it is in the public interest to allow economic development infrastructure to occur near rail lines as a means to alleviate strains on government infrastructure elsewhere. Therefore, the legislature finds that there is a need for counties and cities to improve their planning under the growth management act to provide much needed infrastructure for freight rail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where the use is dependent on and makes use of an adjacent short line railroad in a county that has a population greater than three hundred fifty thousand, is bordered by the Columbia river, is west of the Cascade mountain range, and borders another state to the south. Such facilities are both urban and rural development for purposes of this chapter.</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r>
        <w:rPr>
          <w:u w:val="single"/>
        </w:rPr>
        <w:t xml:space="preserve">, including railroad tracks and freight rail dependent uses</w:t>
      </w:r>
      <w:r>
        <w:rPr/>
        <w:t xml:space="preserve">;</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Rural development includes railroad tracks and freight rail dependent uses.</w:t>
      </w:r>
      <w:r>
        <w:rPr/>
        <w:t xml:space="preserve">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Each county and city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w:t>
      </w:r>
    </w:p>
    <w:p>
      <w:pPr>
        <w:spacing w:before="0" w:after="0" w:line="408" w:lineRule="exact"/>
        <w:ind w:left="0" w:right="0" w:firstLine="576"/>
        <w:jc w:val="left"/>
      </w:pPr>
      <w:r>
        <w:rPr/>
        <w:t xml:space="preserve">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shall be subject to the requirements of (d)(iv) of this subsection, but shall not be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include development of freight rail dependent uses on land adjacent to a short line railroad. Development regulations may be modified to include development of freight rail dependent uses that do not require urban governmental services in rural lands.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September 1, 2016.</w:t>
      </w:r>
    </w:p>
    <w:p/>
    <w:p>
      <w:pPr>
        <w:jc w:val="center"/>
      </w:pPr>
      <w:r>
        <w:rPr>
          <w:b/>
        </w:rPr>
        <w:t>--- END ---</w:t>
      </w:r>
    </w:p>
    <w:sectPr>
      <w:pgNumType w:start="1"/>
      <w:footerReference xmlns:r="http://schemas.openxmlformats.org/officeDocument/2006/relationships" r:id="Rc8fc68af3aa64a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af3e9603ee4a66" /><Relationship Type="http://schemas.openxmlformats.org/officeDocument/2006/relationships/footer" Target="/word/footer.xml" Id="Rc8fc68af3aa64ab9" /></Relationships>
</file>