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de76b3949847eb" /></Relationships>
</file>

<file path=word/document.xml><?xml version="1.0" encoding="utf-8"?>
<w:document xmlns:w="http://schemas.openxmlformats.org/wordprocessingml/2006/main">
  <w:body>
    <w:p>
      <w:r>
        <w:t>S-3587.1</w:t>
      </w:r>
    </w:p>
    <w:p>
      <w:pPr>
        <w:jc w:val="center"/>
      </w:pPr>
      <w:r>
        <w:t>_______________________________________________</w:t>
      </w:r>
    </w:p>
    <w:p/>
    <w:p>
      <w:pPr>
        <w:jc w:val="center"/>
      </w:pPr>
      <w:r>
        <w:rPr>
          <w:b/>
        </w:rPr>
        <w:t>SENATE BILL 6330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Benton</w:t>
      </w:r>
    </w:p>
    <w:p/>
    <w:p>
      <w:r>
        <w:rPr>
          <w:t xml:space="preserve">Read first time 01/15/16.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documents recording a special purpose district lien from the surcharge for local homeless housing and assistance; and amending RCW 36.22.179.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w:t>
      </w:r>
      <w:r>
        <w:t>((</w:t>
      </w:r>
      <w:r>
        <w:rPr>
          <w:strike/>
        </w:rPr>
        <w:t xml:space="preserve">or</w:t>
      </w:r>
      <w:r>
        <w:t>))</w:t>
      </w:r>
      <w:r>
        <w:rPr/>
        <w:t xml:space="preserve"> city</w:t>
      </w:r>
      <w:r>
        <w:rPr>
          <w:u w:val="single"/>
        </w:rPr>
        <w:t xml:space="preserve">, or special purpose district</w:t>
      </w:r>
      <w:r>
        <w:rPr/>
        <w:t xml:space="preserve"> lien </w:t>
      </w:r>
      <w:r>
        <w:rPr>
          <w:u w:val="single"/>
        </w:rPr>
        <w:t xml:space="preserve">for delinquent utility service charges</w:t>
      </w:r>
      <w:r>
        <w:rPr/>
        <w:t xml:space="preserve"> or satisfaction of lien.</w:t>
      </w:r>
    </w:p>
    <w:p/>
    <w:p>
      <w:pPr>
        <w:jc w:val="center"/>
      </w:pPr>
      <w:r>
        <w:rPr>
          <w:b/>
        </w:rPr>
        <w:t>--- END ---</w:t>
      </w:r>
    </w:p>
    <w:sectPr>
      <w:pgNumType w:start="1"/>
      <w:footerReference xmlns:r="http://schemas.openxmlformats.org/officeDocument/2006/relationships" r:id="Re38a92692abc4f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fe173c697c4040" /><Relationship Type="http://schemas.openxmlformats.org/officeDocument/2006/relationships/footer" Target="/word/footer.xml" Id="Re38a92692abc4f77" /></Relationships>
</file>