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3f952e11b402e" /></Relationships>
</file>

<file path=word/document.xml><?xml version="1.0" encoding="utf-8"?>
<w:document xmlns:w="http://schemas.openxmlformats.org/wordprocessingml/2006/main">
  <w:body>
    <w:p>
      <w:r>
        <w:t>S-3868.1</w:t>
      </w:r>
    </w:p>
    <w:p>
      <w:pPr>
        <w:jc w:val="center"/>
      </w:pPr>
      <w:r>
        <w:t>_______________________________________________</w:t>
      </w:r>
    </w:p>
    <w:p/>
    <w:p>
      <w:pPr>
        <w:jc w:val="center"/>
      </w:pPr>
      <w:r>
        <w:rPr>
          <w:b/>
        </w:rPr>
        <w:t>SENATE BILL 6325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Ranker, and Bailey</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alcohol content definition of cider with the federal definition;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twenty and one-fourth cents per liter. Any domestic winery or certificate of approval holder acting as a distributor of its own production shall pay taxes imposed by this section. There is hereby imposed on all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three and fifty-nine one-hundredths cents per liter. However, wine sold or shipped in bulk from one winery to another winery shall not be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shall on or before the twentieth day of each month report to the board all purchases during the preceding calendar month in such manner and upon such forms as may be prescribed by the board, and with such report shall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forthwith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shall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shall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shall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w:t>
      </w:r>
      <w:r>
        <w:t>((</w:t>
      </w:r>
      <w:r>
        <w:rPr>
          <w:strike/>
        </w:rPr>
        <w:t xml:space="preserve">seven</w:t>
      </w:r>
      <w:r>
        <w:t>))</w:t>
      </w:r>
      <w:r>
        <w:rPr/>
        <w:t xml:space="preserve"> </w:t>
      </w:r>
      <w:r>
        <w:rPr>
          <w:u w:val="single"/>
        </w:rPr>
        <w:t xml:space="preserve">eight and one-half</w:t>
      </w:r>
      <w:r>
        <w:rPr/>
        <w:t xml:space="preserve">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w:t>
      </w:r>
      <w:r>
        <w:rPr/>
        <w:noBreakHyphen/>
      </w:r>
      <w:r>
        <w:rPr/>
        <w:t xml:space="preserve">of</w:t>
      </w:r>
      <w:r>
        <w:rPr/>
        <w:noBreakHyphen/>
      </w:r>
      <w:r>
        <w:rPr/>
        <w:t xml:space="preserve">state wineries shall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aaf161ef99b940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17f6ee88f849ac" /><Relationship Type="http://schemas.openxmlformats.org/officeDocument/2006/relationships/footer" Target="/word/footer.xml" Id="Raaf161ef99b940cd" /></Relationships>
</file>