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161755ad74c1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6321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and Pedersen</w:t>
      </w:r>
    </w:p>
    <w:p/>
    <w:p>
      <w:r>
        <w:rPr>
          <w:t xml:space="preserve">Read first time 01/15/16.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exclusions from the definition of worker under industrial insurance statutes; and amending RCW 51.08.181.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181</w:t>
      </w:r>
      <w:r>
        <w:rPr/>
        <w:t xml:space="preserve"> and 2008 c 102 s 5 are each amended to read as follows:</w:t>
      </w:r>
    </w:p>
    <w:p>
      <w:pPr>
        <w:spacing w:before="0" w:after="0" w:line="408" w:lineRule="exact"/>
        <w:ind w:left="0" w:right="0" w:firstLine="576"/>
        <w:jc w:val="left"/>
      </w:pPr>
      <w:r>
        <w:rPr/>
        <w:t xml:space="preserve">For the purposes of this title, any individual performing services that require registration under chapter 18.27 RCW or licensing under chapter 19.28 RCW for remuneration under an independent contract is not a worker when:</w:t>
      </w:r>
    </w:p>
    <w:p>
      <w:pPr>
        <w:spacing w:before="0" w:after="0" w:line="408" w:lineRule="exact"/>
        <w:ind w:left="0" w:right="0" w:firstLine="576"/>
        <w:jc w:val="left"/>
      </w:pPr>
      <w:r>
        <w:rPr/>
        <w:t xml:space="preserve">(1) The individual has been, and will continue to be, free from control or direction over the performance of the service, both under the contract of service and in fact</w:t>
      </w:r>
      <w:r>
        <w:rPr>
          <w:u w:val="single"/>
        </w:rPr>
        <w:t xml:space="preserve">. For the purposes of this chapter, requirements regarding sequencing, deadlines, or date and time of entry to a worksite do not constitute control or direction, nor do reasonable expectations of professional dress, conduct, demeanor, safety, or any other conditions specified in the agreement with the owner of the property or a higher tier contractor. This section does not affect the right of any party to enforce the agreement</w:t>
      </w:r>
      <w:r>
        <w:rPr/>
        <w:t xml:space="preserve">;</w:t>
      </w:r>
    </w:p>
    <w:p>
      <w:pPr>
        <w:spacing w:before="0" w:after="0" w:line="408" w:lineRule="exact"/>
        <w:ind w:left="0" w:right="0" w:firstLine="576"/>
        <w:jc w:val="left"/>
      </w:pPr>
      <w:r>
        <w:rPr/>
        <w:t xml:space="preserve">(2) The service is either outside the usual course of business for which the service is performed, or the service is performed outside all of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(3) The individual is customarily engaged in </w:t>
      </w:r>
      <w:r>
        <w:t>((</w:t>
      </w:r>
      <w:r>
        <w:rPr>
          <w:strike/>
        </w:rPr>
        <w:t xml:space="preserve">an independently established</w:t>
      </w:r>
      <w:r>
        <w:t>))</w:t>
      </w:r>
      <w:r>
        <w:rPr/>
        <w:t xml:space="preserve"> </w:t>
      </w:r>
      <w:r>
        <w:rPr>
          <w:u w:val="single"/>
        </w:rPr>
        <w:t xml:space="preserve">a</w:t>
      </w:r>
      <w:r>
        <w:rPr/>
        <w:t xml:space="preserve"> trade, occupation, profession, or business, of the same nature as that involved in the contract of service</w:t>
      </w:r>
      <w:r>
        <w:t>((</w:t>
      </w:r>
      <w:r>
        <w:rPr>
          <w:strike/>
        </w:rPr>
        <w:t xml:space="preserv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strike/>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On the effective date of the contract of service, or within a reasonable period after the effective date of the contract, the individual has an active and valid certificate of registration with the department of revenue, and an active and valid account with </w:t>
      </w:r>
      <w:r>
        <w:t>((</w:t>
      </w:r>
      <w:r>
        <w:rPr>
          <w:strike/>
        </w:rPr>
        <w:t xml:space="preserve">any other state agencies</w:t>
      </w:r>
      <w:r>
        <w:t>))</w:t>
      </w:r>
      <w:r>
        <w:rPr/>
        <w:t xml:space="preserve"> </w:t>
      </w:r>
      <w:r>
        <w:rPr>
          <w:u w:val="single"/>
        </w:rPr>
        <w:t xml:space="preserve">the department</w:t>
      </w:r>
      <w:r>
        <w:rPr/>
        <w:t xml:space="preserve"> as required by the particular case, for the business the individual is conducting for the payment of all state taxes normally paid by employers and businesses and has registered for and received a unified business identifier number from the state of Washington</w:t>
      </w:r>
      <w:r>
        <w:rPr>
          <w:u w:val="single"/>
        </w:rPr>
        <w:t xml:space="preserve">. If checked quarterly or within a reasonable period before, during, and/or after the agreement, reliance on department of revenue and department published information constitutes compliance with this subsection</w:t>
      </w:r>
      <w:r>
        <w:rPr/>
        <w:t xml:space="preserve">;</w:t>
      </w:r>
    </w:p>
    <w:p>
      <w:pPr>
        <w:spacing w:before="0" w:after="0" w:line="408" w:lineRule="exact"/>
        <w:ind w:left="0" w:right="0" w:firstLine="576"/>
        <w:jc w:val="left"/>
      </w:pPr>
      <w:r>
        <w:t>((</w:t>
      </w:r>
      <w:r>
        <w:rPr>
          <w:strike/>
        </w:rPr>
        <w:t xml:space="preserve">(6) On the effective date of the contract of service, the individual is maintaining a separate set of books or records that reflect all items of income and expenses of the business which the individual is conducting;</w:t>
      </w:r>
      <w:r>
        <w:t>))</w:t>
      </w:r>
      <w:r>
        <w:rPr/>
        <w:t xml:space="preserve"> and</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On the effective date of the contract of service, the individual has a valid contractor registration pursuant to chapter 18.27 RCW or an electrical contractor license pursuant to chapter 19.28 RCW. </w:t>
      </w:r>
      <w:r>
        <w:rPr>
          <w:u w:val="single"/>
        </w:rPr>
        <w:t xml:space="preserve">If checked quarterly or within a reasonable period before, during, and/or after the agreement, reliance on department published information constitutes compliance with this subsection.</w:t>
      </w:r>
    </w:p>
    <w:p/>
    <w:p>
      <w:pPr>
        <w:jc w:val="center"/>
      </w:pPr>
      <w:r>
        <w:rPr>
          <w:b/>
        </w:rPr>
        <w:t>--- END ---</w:t>
      </w:r>
    </w:p>
    <w:sectPr>
      <w:pgNumType w:start="1"/>
      <w:footerReference xmlns:r="http://schemas.openxmlformats.org/officeDocument/2006/relationships" r:id="R75a332d0198d44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f8cdc899f34a12" /><Relationship Type="http://schemas.openxmlformats.org/officeDocument/2006/relationships/footer" Target="/word/footer.xml" Id="R75a332d0198d448a" /></Relationships>
</file>