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b8b497a514dba" /></Relationships>
</file>

<file path=word/document.xml><?xml version="1.0" encoding="utf-8"?>
<w:document xmlns:w="http://schemas.openxmlformats.org/wordprocessingml/2006/main">
  <w:body>
    <w:p>
      <w:r>
        <w:t>S-3742.2</w:t>
      </w:r>
    </w:p>
    <w:p>
      <w:pPr>
        <w:jc w:val="center"/>
      </w:pPr>
      <w:r>
        <w:t>_______________________________________________</w:t>
      </w:r>
    </w:p>
    <w:p/>
    <w:p>
      <w:pPr>
        <w:jc w:val="center"/>
      </w:pPr>
      <w:r>
        <w:rPr>
          <w:b/>
        </w:rPr>
        <w:t>SENATE BILL 6310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Pedersen, Carlyle, Frockt, Ranker, Cleveland, Fraser, Hasegawa, Habib, and Darneille</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safety of children and communities through responsible storage of firearms; amending RCW 9.41.010; adding new sections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do not inappropriately get access to them. Unsafe storage of firearms can have devastating consequences for children in and out of the home and in the community. The legislature intends by this act to promote the responsible storage of firearms to reduce the accidental gun injury and death of young children gaining access to unsafely stored guns, to reduce adolescent suicide, and to prevent youth from inappropriately accessing firearms to cause harm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stores or leaves a firearm in a location where the person knows, or reasonably should know, that a child is likely to gain access:</w:t>
      </w:r>
    </w:p>
    <w:p>
      <w:pPr>
        <w:spacing w:before="0" w:after="0" w:line="408" w:lineRule="exact"/>
        <w:ind w:left="0" w:right="0" w:firstLine="576"/>
        <w:jc w:val="left"/>
      </w:pPr>
      <w:r>
        <w:rPr/>
        <w:t xml:space="preserve">(a) Is guilty of child endangerment due to unsafe storage of a firearm in the first degree if a child obtains access and possession of the firearm and the child causes personal injury or death with the firearm; or</w:t>
      </w:r>
    </w:p>
    <w:p>
      <w:pPr>
        <w:spacing w:before="0" w:after="0" w:line="408" w:lineRule="exact"/>
        <w:ind w:left="0" w:right="0" w:firstLine="576"/>
        <w:jc w:val="left"/>
      </w:pPr>
      <w:r>
        <w:rPr/>
        <w:t xml:space="preserve">(b) Is guilty of child endangerment due to unsafe storage of a firearm in the second degree if a child obtains access and possession of the firearm and the child:</w:t>
      </w:r>
    </w:p>
    <w:p>
      <w:pPr>
        <w:spacing w:before="0" w:after="0" w:line="408" w:lineRule="exact"/>
        <w:ind w:left="0" w:right="0" w:firstLine="576"/>
        <w:jc w:val="left"/>
      </w:pPr>
      <w:r>
        <w:rPr/>
        <w:t xml:space="preserve">(i) Causes the firearm to discharge;</w:t>
      </w:r>
    </w:p>
    <w:p>
      <w:pPr>
        <w:spacing w:before="0" w:after="0" w:line="408" w:lineRule="exact"/>
        <w:ind w:left="0" w:right="0" w:firstLine="576"/>
        <w:jc w:val="left"/>
      </w:pPr>
      <w:r>
        <w:rPr/>
        <w:t xml:space="preserve">(ii) Exhibits the firearm in a public place or in an angry, threatening, or careless manner; or</w:t>
      </w:r>
    </w:p>
    <w:p>
      <w:pPr>
        <w:spacing w:before="0" w:after="0" w:line="408" w:lineRule="exact"/>
        <w:ind w:left="0" w:right="0" w:firstLine="576"/>
        <w:jc w:val="left"/>
      </w:pPr>
      <w:r>
        <w:rPr/>
        <w:t xml:space="preserve">(iii) Uses the firearm in the commission of a crime.</w:t>
      </w:r>
    </w:p>
    <w:p>
      <w:pPr>
        <w:spacing w:before="0" w:after="0" w:line="408" w:lineRule="exact"/>
        <w:ind w:left="0" w:right="0" w:firstLine="576"/>
        <w:jc w:val="left"/>
      </w:pPr>
      <w:r>
        <w:rPr/>
        <w:t xml:space="preserve">(2)(a) Child endangerment due to unsafe storage of a firearm in the first degree is a class C felony punishable according to chapter 9A.20 RCW.</w:t>
      </w:r>
    </w:p>
    <w:p>
      <w:pPr>
        <w:spacing w:before="0" w:after="0" w:line="408" w:lineRule="exact"/>
        <w:ind w:left="0" w:right="0" w:firstLine="576"/>
        <w:jc w:val="left"/>
      </w:pPr>
      <w:r>
        <w:rPr/>
        <w:t xml:space="preserve">(b) Child endangerment due to unsafe storage of a firearm in the second degree is a misdemeanor punishable according to chapter 9A.20 RCW.</w:t>
      </w:r>
    </w:p>
    <w:p>
      <w:pPr>
        <w:spacing w:before="0" w:after="0" w:line="408" w:lineRule="exact"/>
        <w:ind w:left="0" w:right="0" w:firstLine="576"/>
        <w:jc w:val="left"/>
      </w:pPr>
      <w:r>
        <w:rPr/>
        <w:t xml:space="preserve">(3) Subsection (1) of this section does not apply if:</w:t>
      </w:r>
    </w:p>
    <w:p>
      <w:pPr>
        <w:spacing w:before="0" w:after="0" w:line="408" w:lineRule="exact"/>
        <w:ind w:left="0" w:right="0" w:firstLine="576"/>
        <w:jc w:val="left"/>
      </w:pPr>
      <w:r>
        <w:rPr/>
        <w:t xml:space="preserve">(a)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t xml:space="preserve">(b) The child's access to the firearm is with the lawful permission of the child's parent or guardian and supervised by an adult;</w:t>
      </w:r>
    </w:p>
    <w:p>
      <w:pPr>
        <w:spacing w:before="0" w:after="0" w:line="408" w:lineRule="exact"/>
        <w:ind w:left="0" w:right="0" w:firstLine="576"/>
        <w:jc w:val="left"/>
      </w:pPr>
      <w:r>
        <w:rPr/>
        <w:t xml:space="preserve">(c) The child's access to the firearm was obtained as a result of an unlawful entry;</w:t>
      </w:r>
    </w:p>
    <w:p>
      <w:pPr>
        <w:spacing w:before="0" w:after="0" w:line="408" w:lineRule="exact"/>
        <w:ind w:left="0" w:right="0" w:firstLine="576"/>
        <w:jc w:val="left"/>
      </w:pPr>
      <w:r>
        <w:rPr/>
        <w:t xml:space="preserve">(d) The child obtains, or obtains and discharges, the firearm in a lawful act of self-defense;</w:t>
      </w:r>
    </w:p>
    <w:p>
      <w:pPr>
        <w:spacing w:before="0" w:after="0" w:line="408" w:lineRule="exact"/>
        <w:ind w:left="0" w:right="0" w:firstLine="576"/>
        <w:jc w:val="left"/>
      </w:pPr>
      <w:r>
        <w:rPr/>
        <w:t xml:space="preserve">(e) The firearm is kept on any premises under the custody or control of a person who has no reasonable expectation, based on objective facts and circumstances, that a child is likely to be present on the premises; or</w:t>
      </w:r>
    </w:p>
    <w:p>
      <w:pPr>
        <w:spacing w:before="0" w:after="0" w:line="408" w:lineRule="exact"/>
        <w:ind w:left="0" w:right="0" w:firstLine="576"/>
        <w:jc w:val="left"/>
      </w:pPr>
      <w:r>
        <w:rPr/>
        <w:t xml:space="preserve">(f) The child's access to the firearm was in accordance with RCW 9.41.042.</w:t>
      </w:r>
    </w:p>
    <w:p>
      <w:pPr>
        <w:spacing w:before="0" w:after="0" w:line="408" w:lineRule="exact"/>
        <w:ind w:left="0" w:right="0" w:firstLine="576"/>
        <w:jc w:val="left"/>
      </w:pPr>
      <w:r>
        <w:rPr/>
        <w:t xml:space="preserve">(4) If a death or serious injury occurs as a result of an alleged violation of subsection (1)(a) of this section,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t xml:space="preserve">(5) For the purposes of this section, "child" means a person under the age of eighteen years.</w:t>
      </w:r>
    </w:p>
    <w:p>
      <w:pPr>
        <w:spacing w:before="0" w:after="0" w:line="408" w:lineRule="exact"/>
        <w:ind w:left="0" w:right="0" w:firstLine="576"/>
        <w:jc w:val="left"/>
      </w:pPr>
      <w:r>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(Initiative Measure No. 594)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w:t>
      </w:r>
      <w:r>
        <w:t>((</w:t>
      </w:r>
      <w:r>
        <w:rPr>
          <w:strike/>
        </w:rPr>
        <w:t xml:space="preserve">or</w:t>
      </w:r>
      <w:r>
        <w:t>))</w:t>
      </w:r>
    </w:p>
    <w:p>
      <w:pPr>
        <w:spacing w:before="0" w:after="0" w:line="408" w:lineRule="exact"/>
        <w:ind w:left="0" w:right="0" w:firstLine="576"/>
        <w:jc w:val="left"/>
      </w:pPr>
      <w:r>
        <w:rPr/>
        <w:t xml:space="preserve">(p) Any felony conviction under RCW 9.41.115</w:t>
      </w:r>
      <w:r>
        <w:rPr>
          <w:u w:val="single"/>
        </w:rPr>
        <w:t xml:space="preserve">; or</w:t>
      </w:r>
    </w:p>
    <w:p>
      <w:pPr>
        <w:spacing w:before="0" w:after="0" w:line="408" w:lineRule="exact"/>
        <w:ind w:left="0" w:right="0" w:firstLine="576"/>
        <w:jc w:val="left"/>
      </w:pPr>
      <w:r>
        <w:rPr>
          <w:u w:val="single"/>
        </w:rPr>
        <w:t xml:space="preserve">(q) Child endangerment due to unsafe storage of a firearm in the first degree (section 2(2)(a) of this act)</w:t>
      </w:r>
      <w:r>
        <w:rPr/>
        <w:t xml:space="preserve">.</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w:t>
      </w:r>
    </w:p>
    <w:p>
      <w:pPr>
        <w:spacing w:before="0" w:after="0" w:line="408" w:lineRule="exact"/>
        <w:ind w:left="0" w:right="0" w:firstLine="576"/>
        <w:jc w:val="left"/>
      </w:pPr>
      <w:r>
        <w:rPr/>
        <w:t xml:space="preserve">(26) "Unlicensed person" means any person who is not a licensed dealer under this chapter.</w:t>
      </w:r>
    </w:p>
    <w:p/>
    <w:p>
      <w:pPr>
        <w:jc w:val="center"/>
      </w:pPr>
      <w:r>
        <w:rPr>
          <w:b/>
        </w:rPr>
        <w:t>--- END ---</w:t>
      </w:r>
    </w:p>
    <w:sectPr>
      <w:pgNumType w:start="1"/>
      <w:footerReference xmlns:r="http://schemas.openxmlformats.org/officeDocument/2006/relationships" r:id="R1fe465fc9b9841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74b64263e486b" /><Relationship Type="http://schemas.openxmlformats.org/officeDocument/2006/relationships/footer" Target="/word/footer.xml" Id="R1fe465fc9b9841f2" /></Relationships>
</file>